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COLLECTION OF DEBT</w:t>
      </w:r>
    </w:p>
    <w:p>
      <w:pPr>
        <w:spacing w:before="0" w:after="0"/>
        <w:ind w:left="120"/>
        <w:jc w:val="center"/>
      </w:pPr>
      <w:r>
        <w:rPr>
          <w:rFonts w:ascii="Times New Roman" w:hAnsi="Times New Roman"/>
          <w:b w:val="false"/>
          <w:i w:val="false"/>
          <w:color w:val="000000"/>
          <w:sz w:val="14"/>
        </w:rPr>
        <w:t>[Prior to 2/11/87, Human Services[498]]</w:t>
      </w:r>
    </w:p>
    <w:p>
      <w:pPr>
        <w:spacing w:before="0" w:after="0"/>
        <w:ind w:left="120"/>
        <w:jc w:val="left"/>
      </w:pPr>
      <w:r>
        <w:rPr>
          <w:rFonts w:ascii="Times New Roman" w:hAnsi="Times New Roman"/>
          <w:b w:val="false"/>
          <w:i w:val="false"/>
          <w:color w:val="000000"/>
          <w:sz w:val="22"/>
        </w:rPr>
        <w:t> </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10/9/29</w:t>
      </w:r>
    </w:p>
    <w:p>
      <w:pPr>
        <w:spacing w:before="0" w:after="0"/>
        <w:ind w:left="120"/>
        <w:jc w:val="both"/>
      </w:pPr>
      <w:r>
        <w:rPr>
          <w:rFonts w:ascii="Times New Roman" w:hAnsi="Times New Roman"/>
          <w:b/>
          <w:i w:val="false"/>
          <w:color w:val="000000"/>
          <w:sz w:val="22"/>
        </w:rPr>
        <w:t>441—11.1</w:t>
      </w:r>
      <w:r>
        <w:rPr>
          <w:rFonts w:ascii="Times New Roman" w:hAnsi="Times New Roman"/>
          <w:b/>
          <w:i w:val="false"/>
          <w:color w:val="000000"/>
          <w:sz w:val="22"/>
        </w:rPr>
        <w:t xml:space="preserve">(217)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“Current” </w:t>
      </w:r>
      <w:r>
        <w:rPr>
          <w:rFonts w:ascii="Times New Roman" w:hAnsi="Times New Roman"/>
          <w:b w:val="false"/>
          <w:i w:val="false"/>
          <w:color w:val="000000"/>
          <w:sz w:val="22"/>
        </w:rPr>
        <w:t>means that amount which is due and owing within the previous 12 months from the date of submission to the department of administrative services or that amount which is due and owing from the date the repayment agreement or court order is implemented, if less than 12 months, before the date of submission to the department of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“Current repayment” </w:t>
      </w:r>
      <w:r>
        <w:rPr>
          <w:rFonts w:ascii="Times New Roman" w:hAnsi="Times New Roman"/>
          <w:b w:val="false"/>
          <w:i w:val="false"/>
          <w:color w:val="000000"/>
          <w:sz w:val="22"/>
        </w:rPr>
        <w:t>means that payment of the cumulative sum due and owing in accordance with a repayment agreement or court order for the preceding 12 months or the date of the order or agreement if the order or agreement is more recent.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“Debtor” </w:t>
      </w:r>
      <w:r>
        <w:rPr>
          <w:rFonts w:ascii="Times New Roman" w:hAnsi="Times New Roman"/>
          <w:b w:val="false"/>
          <w:i w:val="false"/>
          <w:color w:val="000000"/>
          <w:sz w:val="22"/>
        </w:rPr>
        <w:t>means a current or former recipient of public assistance that has been determined by the department to be responsible for the repayment of a particular debt. For the Supplemental Nutrition Assistance Program (SNAP), “debtor” shall include all adult members of the SNAP household participating at the time the SNAP overpayment or program violation occurred and shall include nonrecipients found guilty of violating SNAP rules by committing an act such as, but not limited to, trafficking. For child care assistance, “debtor” may include the current or former provider or current or former recipient of child care assistance. For Medicaid, “debtor” shall include any current or former Medicaid member, or the parents of a current or former Medicaid member who was under the age of 21 when the parents completed the application and had responsibility for reporting changes, who received services or benefits as a result of client or agency error or administrative overpayment or who owes a debt of unpaid premium payments for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assistance” </w:t>
      </w:r>
      <w:r>
        <w:rPr>
          <w:rFonts w:ascii="Times New Roman" w:hAnsi="Times New Roman"/>
          <w:b w:val="false"/>
          <w:i w:val="false"/>
          <w:color w:val="000000"/>
          <w:sz w:val="22"/>
        </w:rPr>
        <w:t>means family investment program, SNAP, Medicaid, state supplementary assistance, PROMISE JOBS, child care assistance, refugee cash assistance, and hawki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“Repayment agreement” </w:t>
      </w:r>
      <w:r>
        <w:rPr>
          <w:rFonts w:ascii="Times New Roman" w:hAnsi="Times New Roman"/>
          <w:b w:val="false"/>
          <w:i w:val="false"/>
          <w:color w:val="000000"/>
          <w:sz w:val="22"/>
        </w:rPr>
        <w:t>means an agreement entered into voluntarily between the department and the debtor for the repayment of debts and detailed on a form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“Written notification” </w:t>
      </w:r>
      <w:r>
        <w:rPr>
          <w:rFonts w:ascii="Times New Roman" w:hAnsi="Times New Roman"/>
          <w:b w:val="false"/>
          <w:i w:val="false"/>
          <w:color w:val="000000"/>
          <w:sz w:val="22"/>
        </w:rPr>
        <w:t xml:space="preserve">means the notification sent to a debtor by the department on a form issued by the department.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8205C</w:t>
      </w:r>
      <w:r>
        <w:rPr>
          <w:rFonts w:ascii="Times New Roman" w:hAnsi="Times New Roman"/>
          <w:b w:val="false"/>
          <w:i w:val="false"/>
          <w:color w:val="000000"/>
          <w:sz w:val="16"/>
        </w:rPr>
        <w:t>, IAB 9/4/24, effective 10/9/24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441—11.2</w:t>
      </w:r>
      <w:r>
        <w:rPr>
          <w:rFonts w:ascii="Times New Roman" w:hAnsi="Times New Roman"/>
          <w:b/>
          <w:i w:val="false"/>
          <w:color w:val="000000"/>
          <w:sz w:val="22"/>
        </w:rPr>
        <w:t xml:space="preserve">(217) </w:t>
      </w:r>
      <w:r>
        <w:rPr>
          <w:rFonts w:ascii="Times New Roman" w:hAnsi="Times New Roman"/>
          <w:b/>
          <w:i w:val="false"/>
          <w:color w:val="000000"/>
          <w:sz w:val="22"/>
        </w:rPr>
        <w:t xml:space="preserve">Establishment of claim.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w:t>
      </w:r>
      <w:r>
        <w:rPr>
          <w:rFonts w:ascii="Times New Roman" w:hAnsi="Times New Roman"/>
          <w:b w:val="false"/>
          <w:i w:val="false"/>
          <w:color w:val="000000"/>
          <w:sz w:val="22"/>
        </w:rPr>
        <w:t> </w:t>
      </w:r>
      <w:r>
        <w:rPr>
          <w:rFonts w:ascii="Times New Roman" w:hAnsi="Times New Roman"/>
          <w:b w:val="false"/>
          <w:i/>
          <w:color w:val="000000"/>
          <w:sz w:val="22"/>
        </w:rPr>
        <w:t xml:space="preserve">Accounts. </w:t>
      </w:r>
      <w:r>
        <w:rPr>
          <w:rFonts w:ascii="Times New Roman" w:hAnsi="Times New Roman"/>
          <w:b w:val="false"/>
          <w:i w:val="false"/>
          <w:color w:val="000000"/>
          <w:sz w:val="22"/>
        </w:rPr>
        <w:t>The department will maintain an account for each debt that has occurred containing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debtor name and account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Program in which the debt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 the debt was discovered.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Inclusive dates of the debt.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Total dollar amount of each debt.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Primary cause of the debt.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transaction applied to this debt.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w:t>
      </w:r>
      <w:r>
        <w:rPr>
          <w:rFonts w:ascii="Times New Roman" w:hAnsi="Times New Roman"/>
          <w:b w:val="false"/>
          <w:i w:val="false"/>
          <w:color w:val="000000"/>
          <w:sz w:val="22"/>
        </w:rPr>
        <w:t> </w:t>
      </w:r>
      <w:r>
        <w:rPr>
          <w:rFonts w:ascii="Times New Roman" w:hAnsi="Times New Roman"/>
          <w:b w:val="false"/>
          <w:i/>
          <w:color w:val="000000"/>
          <w:sz w:val="22"/>
        </w:rPr>
        <w:t xml:space="preserve">Notice of debt. </w:t>
      </w:r>
      <w:r>
        <w:rPr>
          <w:rFonts w:ascii="Times New Roman" w:hAnsi="Times New Roman"/>
          <w:b w:val="false"/>
          <w:i w:val="false"/>
          <w:color w:val="000000"/>
          <w:sz w:val="22"/>
        </w:rPr>
        <w:t>A claim is established when the first written notice of the debt is issued to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w:t>
      </w:r>
      <w:r>
        <w:rPr>
          <w:rFonts w:ascii="Times New Roman" w:hAnsi="Times New Roman"/>
          <w:b w:val="false"/>
          <w:i w:val="false"/>
          <w:color w:val="000000"/>
          <w:sz w:val="22"/>
        </w:rPr>
        <w:t> </w:t>
      </w:r>
      <w:r>
        <w:rPr>
          <w:rFonts w:ascii="Times New Roman" w:hAnsi="Times New Roman"/>
          <w:b w:val="false"/>
          <w:i/>
          <w:color w:val="000000"/>
          <w:sz w:val="22"/>
        </w:rPr>
        <w:t xml:space="preserve">Change in debt. </w:t>
      </w:r>
      <w:r>
        <w:rPr>
          <w:rFonts w:ascii="Times New Roman" w:hAnsi="Times New Roman"/>
          <w:b w:val="false"/>
          <w:i w:val="false"/>
          <w:color w:val="000000"/>
          <w:sz w:val="22"/>
        </w:rPr>
        <w:t>An additional written notification of debt will be issued if a change occurs in the amount or period of the debt.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w:t>
      </w:r>
      <w:r>
        <w:rPr>
          <w:rFonts w:ascii="Times New Roman" w:hAnsi="Times New Roman"/>
          <w:b w:val="false"/>
          <w:i w:val="false"/>
          <w:color w:val="000000"/>
          <w:sz w:val="22"/>
        </w:rPr>
        <w:t> </w:t>
      </w:r>
      <w:r>
        <w:rPr>
          <w:rFonts w:ascii="Times New Roman" w:hAnsi="Times New Roman"/>
          <w:b w:val="false"/>
          <w:i/>
          <w:color w:val="000000"/>
          <w:sz w:val="22"/>
        </w:rPr>
        <w:t xml:space="preserve">Collection action. </w:t>
      </w:r>
      <w:r>
        <w:rPr>
          <w:rFonts w:ascii="Times New Roman" w:hAnsi="Times New Roman"/>
          <w:b w:val="false"/>
          <w:i w:val="false"/>
          <w:color w:val="000000"/>
          <w:sz w:val="22"/>
        </w:rPr>
        <w:t>No collection action will be initiated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debt for which no notice of debt has been issued to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debt that is in appeal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debt that is in suspended status due to an exception to policy.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8205C</w:t>
      </w:r>
      <w:r>
        <w:rPr>
          <w:rFonts w:ascii="Times New Roman" w:hAnsi="Times New Roman"/>
          <w:b w:val="false"/>
          <w:i w:val="false"/>
          <w:color w:val="000000"/>
          <w:sz w:val="16"/>
        </w:rPr>
        <w:t>, IAB 9/4/24, effective 10/9/24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441—11.3</w:t>
      </w:r>
      <w:r>
        <w:rPr>
          <w:rFonts w:ascii="Times New Roman" w:hAnsi="Times New Roman"/>
          <w:b/>
          <w:i w:val="false"/>
          <w:color w:val="000000"/>
          <w:sz w:val="22"/>
        </w:rPr>
        <w:t xml:space="preserve">(217) </w:t>
      </w:r>
      <w:r>
        <w:rPr>
          <w:rFonts w:ascii="Times New Roman" w:hAnsi="Times New Roman"/>
          <w:b/>
          <w:i w:val="false"/>
          <w:color w:val="000000"/>
          <w:sz w:val="22"/>
        </w:rPr>
        <w:t xml:space="preserve">Application of payment. </w:t>
      </w:r>
      <w:r>
        <w:rPr>
          <w:rFonts w:ascii="Times New Roman" w:hAnsi="Times New Roman"/>
          <w:b w:val="false"/>
          <w:i w:val="false"/>
          <w:color w:val="000000"/>
          <w:sz w:val="22"/>
        </w:rPr>
        <w:t xml:space="preserve">Payment will be applied only to debts subject to collection pursuant to subrule </w:t>
      </w:r>
      <w:hyperlink r:id="rId5">
        <w:r>
          <w:rPr>
            <w:rStyle w:val="Hyperlink"/>
            <w:rFonts w:ascii="Times New Roman" w:hAnsi="Times New Roman"/>
            <w:b w:val="false"/>
            <w:i w:val="false"/>
            <w:color w:val="000000"/>
            <w:sz w:val="22"/>
          </w:rPr>
          <w:t>11.2(4)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w:t>
      </w:r>
      <w:r>
        <w:rPr>
          <w:rFonts w:ascii="Times New Roman" w:hAnsi="Times New Roman"/>
          <w:b w:val="false"/>
          <w:i w:val="false"/>
          <w:color w:val="000000"/>
          <w:sz w:val="22"/>
        </w:rPr>
        <w:t> </w:t>
      </w:r>
      <w:r>
        <w:rPr>
          <w:rFonts w:ascii="Times New Roman" w:hAnsi="Times New Roman"/>
          <w:b w:val="false"/>
          <w:i/>
          <w:color w:val="000000"/>
          <w:sz w:val="22"/>
        </w:rPr>
        <w:t xml:space="preserve">Application of payment to a single program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there is more than one debt in a program, payment will be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First to all debts that have an agreement in chronological order of discovery,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Then to debts that do not have an agreement in chronological order of discovery until all debts have been paid in full or the full payment amount has been exhausted.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SNAP, payment will be applied first to all debts with an agreement and then to debts without an agreement. Within those two groupings, payment will be applied in the following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First to state-only debts in chronological order of discovery,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Then to intentional program violation (IPV) debts in chronological order of discovery,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Then to inadvertent household error (IHE) debts in chronological order of discovery,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Then to agency error debts in chronological order of discovery.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w:t>
      </w:r>
      <w:r>
        <w:rPr>
          <w:rFonts w:ascii="Times New Roman" w:hAnsi="Times New Roman"/>
          <w:b w:val="false"/>
          <w:i w:val="false"/>
          <w:color w:val="000000"/>
          <w:sz w:val="22"/>
        </w:rPr>
        <w:t> </w:t>
      </w:r>
      <w:r>
        <w:rPr>
          <w:rFonts w:ascii="Times New Roman" w:hAnsi="Times New Roman"/>
          <w:b w:val="false"/>
          <w:i/>
          <w:color w:val="000000"/>
          <w:sz w:val="22"/>
        </w:rPr>
        <w:t xml:space="preserve">Application of payment to multiple program areas. </w:t>
      </w:r>
      <w:r>
        <w:rPr>
          <w:rFonts w:ascii="Times New Roman" w:hAnsi="Times New Roman"/>
          <w:b w:val="false"/>
          <w:i w:val="false"/>
          <w:color w:val="000000"/>
          <w:sz w:val="22"/>
        </w:rPr>
        <w:t>If there are debts in more than one program area of public assistance, payments received will be applied to those program areas as indicated by the mode of repayment (SNAP benefits, FIP benefits) or as indicated by the client at the time of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11.3(3)</w:t>
      </w:r>
      <w:r>
        <w:rPr>
          <w:rFonts w:ascii="Times New Roman" w:hAnsi="Times New Roman"/>
          <w:b w:val="false"/>
          <w:i w:val="false"/>
          <w:color w:val="000000"/>
          <w:sz w:val="22"/>
        </w:rPr>
        <w:t> </w:t>
      </w:r>
      <w:r>
        <w:rPr>
          <w:rFonts w:ascii="Times New Roman" w:hAnsi="Times New Roman"/>
          <w:b w:val="false"/>
          <w:i/>
          <w:color w:val="000000"/>
          <w:sz w:val="22"/>
        </w:rPr>
        <w:t xml:space="preserve">Application of undesignated cash payment. </w:t>
      </w:r>
      <w:r>
        <w:rPr>
          <w:rFonts w:ascii="Times New Roman" w:hAnsi="Times New Roman"/>
          <w:b w:val="false"/>
          <w:i w:val="false"/>
          <w:color w:val="000000"/>
          <w:sz w:val="22"/>
        </w:rPr>
        <w:t>If an undesignated cash payment is received, it will be applied to each program area proportionally based on the cumulative balance of all debts in all program areas combined.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8205C</w:t>
      </w:r>
      <w:r>
        <w:rPr>
          <w:rFonts w:ascii="Times New Roman" w:hAnsi="Times New Roman"/>
          <w:b w:val="false"/>
          <w:i w:val="false"/>
          <w:color w:val="000000"/>
          <w:sz w:val="16"/>
        </w:rPr>
        <w:t>, IAB 9/4/24, effective 10/9/24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w:t>
      </w:r>
      <w:r>
        <w:rPr>
          <w:rFonts w:ascii="Times New Roman" w:hAnsi="Times New Roman"/>
          <w:b/>
          <w:i w:val="false"/>
          <w:color w:val="000000"/>
          <w:sz w:val="22"/>
        </w:rPr>
        <w:t xml:space="preserve">(217) </w:t>
      </w:r>
      <w:r>
        <w:rPr>
          <w:rFonts w:ascii="Times New Roman" w:hAnsi="Times New Roman"/>
          <w:b/>
          <w:i w:val="false"/>
          <w:color w:val="000000"/>
          <w:sz w:val="22"/>
        </w:rPr>
        <w:t xml:space="preserve">Setoff against state income tax refund, rebate, or other state payments, including, for example, state employee wages.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w:t>
      </w:r>
      <w:r>
        <w:rPr>
          <w:rFonts w:ascii="Times New Roman" w:hAnsi="Times New Roman"/>
          <w:b w:val="false"/>
          <w:i w:val="false"/>
          <w:color w:val="000000"/>
          <w:sz w:val="22"/>
        </w:rPr>
        <w:t> </w:t>
      </w:r>
      <w:r>
        <w:rPr>
          <w:rFonts w:ascii="Times New Roman" w:hAnsi="Times New Roman"/>
          <w:b w:val="false"/>
          <w:i/>
          <w:color w:val="000000"/>
          <w:sz w:val="22"/>
        </w:rPr>
        <w:t xml:space="preserve">Criteria for setoff.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claim against a debtor may be made by the department for public assistance debts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debtor has failed to negotiate a repayment agreement for that program area of public assistance,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repayment agreement is not current,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cumulative balance of the applicable debts in </w:t>
      </w:r>
      <w:hyperlink r:id="rId6">
        <w:r>
          <w:rPr>
            <w:rStyle w:val="Hyperlink"/>
            <w:rFonts w:ascii="Times New Roman" w:hAnsi="Times New Roman"/>
            <w:b w:val="false"/>
            <w:i w:val="false"/>
            <w:color w:val="000000"/>
            <w:sz w:val="22"/>
          </w:rPr>
          <w:t>11.4(1)</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(2) exceeds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claim against a debtor will not be made by the department for debts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debt is in suspended status due to an exception to policy or is in an appeal status,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debt is being recovered through grant or benefit reduction.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w:t>
      </w:r>
      <w:r>
        <w:rPr>
          <w:rFonts w:ascii="Times New Roman" w:hAnsi="Times New Roman"/>
          <w:b w:val="false"/>
          <w:i w:val="false"/>
          <w:color w:val="000000"/>
          <w:sz w:val="22"/>
        </w:rPr>
        <w:t> </w:t>
      </w:r>
      <w:r>
        <w:rPr>
          <w:rFonts w:ascii="Times New Roman" w:hAnsi="Times New Roman"/>
          <w:b w:val="false"/>
          <w:i/>
          <w:color w:val="000000"/>
          <w:sz w:val="22"/>
        </w:rPr>
        <w:t xml:space="preserve">Frequency of submission. </w:t>
      </w:r>
      <w:r>
        <w:rPr>
          <w:rFonts w:ascii="Times New Roman" w:hAnsi="Times New Roman"/>
          <w:b w:val="false"/>
          <w:i w:val="false"/>
          <w:color w:val="000000"/>
          <w:sz w:val="22"/>
        </w:rPr>
        <w:t xml:space="preserve">The department will submit to the department of administrative services twice each month a list of those debtors who have a debt meeting the criteria in subrule </w:t>
      </w:r>
      <w:hyperlink r:id="rId7">
        <w:r>
          <w:rPr>
            <w:rStyle w:val="Hyperlink"/>
            <w:rFonts w:ascii="Times New Roman" w:hAnsi="Times New Roman"/>
            <w:b w:val="false"/>
            <w:i w:val="false"/>
            <w:color w:val="000000"/>
            <w:sz w:val="22"/>
          </w:rPr>
          <w:t>11.4(1)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w:t>
      </w:r>
      <w:r>
        <w:rPr>
          <w:rFonts w:ascii="Times New Roman" w:hAnsi="Times New Roman"/>
          <w:b w:val="false"/>
          <w:i w:val="false"/>
          <w:color w:val="000000"/>
          <w:sz w:val="22"/>
        </w:rPr>
        <w:t> </w:t>
      </w:r>
      <w:r>
        <w:rPr>
          <w:rFonts w:ascii="Times New Roman" w:hAnsi="Times New Roman"/>
          <w:b w:val="false"/>
          <w:i/>
          <w:color w:val="000000"/>
          <w:sz w:val="22"/>
        </w:rPr>
        <w:t xml:space="preserve">Pre-setoff notice. </w:t>
      </w:r>
      <w:r>
        <w:rPr>
          <w:rFonts w:ascii="Times New Roman" w:hAnsi="Times New Roman"/>
          <w:b w:val="false"/>
          <w:i w:val="false"/>
          <w:color w:val="000000"/>
          <w:sz w:val="22"/>
        </w:rPr>
        <w:t>The department will mail written notification to a debtor to inform the debtor of the amount the department intends to claim and apply to debts in each program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is notified by the department of administrative services that the debtor is entitled to a state income tax refund, rebate, or other state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makes claim against the debtor.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w:t>
      </w:r>
      <w:r>
        <w:rPr>
          <w:rFonts w:ascii="Times New Roman" w:hAnsi="Times New Roman"/>
          <w:b w:val="false"/>
          <w:i w:val="false"/>
          <w:color w:val="000000"/>
          <w:sz w:val="22"/>
        </w:rPr>
        <w:t> </w:t>
      </w:r>
      <w:r>
        <w:rPr>
          <w:rFonts w:ascii="Times New Roman" w:hAnsi="Times New Roman"/>
          <w:b w:val="false"/>
          <w:i/>
          <w:color w:val="000000"/>
          <w:sz w:val="22"/>
        </w:rPr>
        <w:t xml:space="preserve">Method for division of joint payments. </w:t>
      </w:r>
      <w:r>
        <w:rPr>
          <w:rFonts w:ascii="Times New Roman" w:hAnsi="Times New Roman"/>
          <w:b w:val="false"/>
          <w:i w:val="false"/>
          <w:color w:val="000000"/>
          <w:sz w:val="22"/>
        </w:rPr>
        <w:t>When either spouse wishes to request a division of a jointly or commonly owned right to payment, a written request shall be submitted to the department within 15 days after the written notification is mailed. When the request is received within the 15-day limit, the spouse’s proportionate share of a jointly or commonly owned right to payment, as determined by the department of administrative services, shall be released by the department of administrative services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Other claims are made on that portion of the jointly or commonly owned right to payment,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That spouse was also a member of the same household and the spouse’s income and resources were or should have been considered in the calculation of public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11.4(5)</w:t>
      </w:r>
      <w:r>
        <w:rPr>
          <w:rFonts w:ascii="Times New Roman" w:hAnsi="Times New Roman"/>
          <w:b w:val="false"/>
          <w:i w:val="false"/>
          <w:color w:val="000000"/>
          <w:sz w:val="22"/>
        </w:rPr>
        <w:t> </w:t>
      </w:r>
      <w:r>
        <w:rPr>
          <w:rFonts w:ascii="Times New Roman" w:hAnsi="Times New Roman"/>
          <w:b w:val="false"/>
          <w:i/>
          <w:color w:val="000000"/>
          <w:sz w:val="22"/>
        </w:rPr>
        <w:t xml:space="preserve">Appeal rights. </w:t>
      </w:r>
      <w:r>
        <w:rPr>
          <w:rFonts w:ascii="Times New Roman" w:hAnsi="Times New Roman"/>
          <w:b w:val="false"/>
          <w:i w:val="false"/>
          <w:color w:val="000000"/>
          <w:sz w:val="22"/>
        </w:rPr>
        <w:t xml:space="preserve">When a debtor wishes to contest the claim of the department, a written request shall be submitted to the department within 15 days after the written notification is mailed. When the request is received within the 15-day limit, a hearing will be granted pursuant to rules in </w:t>
      </w:r>
      <w:hyperlink r:id="rId8">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is upheld in the final decision, the setoff process shall continue and the refund, rebate, or other state payment will be applied to the appropriate delinquent debts.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department is reversed in the final decision, the debtor’s refund, rebate, or other state payment will be released to the debtor by the department of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11.4(6)</w:t>
      </w:r>
      <w:r>
        <w:rPr>
          <w:rFonts w:ascii="Times New Roman" w:hAnsi="Times New Roman"/>
          <w:b w:val="false"/>
          <w:i w:val="false"/>
          <w:color w:val="000000"/>
          <w:sz w:val="22"/>
        </w:rPr>
        <w:t> </w:t>
      </w:r>
      <w:r>
        <w:rPr>
          <w:rFonts w:ascii="Times New Roman" w:hAnsi="Times New Roman"/>
          <w:b w:val="false"/>
          <w:i/>
          <w:color w:val="000000"/>
          <w:sz w:val="22"/>
        </w:rPr>
        <w:t xml:space="preserve">Debt setoff. </w:t>
      </w:r>
      <w:r>
        <w:rPr>
          <w:rFonts w:ascii="Times New Roman" w:hAnsi="Times New Roman"/>
          <w:b w:val="false"/>
          <w:i w:val="false"/>
          <w:color w:val="000000"/>
          <w:sz w:val="22"/>
        </w:rPr>
        <w:t>If the department has not received a request for an appeal hearing or a request for division of a jointly or commonly owned right to payment within 15 days after the date the written notification is mailed, the department will notify a debtor of the final decision regarding the claim by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11.4(7)</w:t>
      </w:r>
      <w:r>
        <w:rPr>
          <w:rFonts w:ascii="Times New Roman" w:hAnsi="Times New Roman"/>
          <w:b w:val="false"/>
          <w:i w:val="false"/>
          <w:color w:val="000000"/>
          <w:sz w:val="22"/>
        </w:rPr>
        <w:t> </w:t>
      </w:r>
      <w:r>
        <w:rPr>
          <w:rFonts w:ascii="Times New Roman" w:hAnsi="Times New Roman"/>
          <w:b w:val="false"/>
          <w:i/>
          <w:color w:val="000000"/>
          <w:sz w:val="22"/>
        </w:rPr>
        <w:t xml:space="preserve">Application of setoff. </w:t>
      </w:r>
      <w:r>
        <w:rPr>
          <w:rFonts w:ascii="Times New Roman" w:hAnsi="Times New Roman"/>
          <w:b w:val="false"/>
          <w:i w:val="false"/>
          <w:color w:val="000000"/>
          <w:sz w:val="22"/>
        </w:rPr>
        <w:t xml:space="preserve">The department will apply any setoff received from the department of administrative services as a result of this rule to the debtor’s debts as indicated on the written notification mailed to the debtor and in accordance with rule </w:t>
      </w:r>
      <w:hyperlink r:id="rId9">
        <w:r>
          <w:rPr>
            <w:rStyle w:val="Hyperlink"/>
            <w:rFonts w:ascii="Times New Roman" w:hAnsi="Times New Roman"/>
            <w:b w:val="false"/>
            <w:i w:val="false"/>
            <w:color w:val="000000"/>
            <w:sz w:val="22"/>
          </w:rPr>
          <w:t>441—11.3</w:t>
        </w:r>
      </w:hyperlink>
      <w:r>
        <w:rPr>
          <w:rFonts w:ascii="Times New Roman" w:hAnsi="Times New Roman"/>
          <w:b w:val="false"/>
          <w:i w:val="false"/>
          <w:color w:val="000000"/>
          <w:sz w:val="22"/>
        </w:rPr>
        <w:t>(217).</w:t>
      </w:r>
    </w:p>
    <w:p>
      <w:pPr>
        <w:spacing w:before="0" w:after="0"/>
        <w:ind w:left="120"/>
        <w:jc w:val="both"/>
      </w:pPr>
      <w:r>
        <w:rPr>
          <w:rFonts w:ascii="Times New Roman" w:hAnsi="Times New Roman"/>
          <w:b w:val="false"/>
          <w:i w:val="false"/>
          <w:color w:val="000000"/>
          <w:sz w:val="22"/>
        </w:rPr>
        <w:t>Any amount remaining after the setoff shall be released back to the individual.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8205C</w:t>
      </w:r>
      <w:r>
        <w:rPr>
          <w:rFonts w:ascii="Times New Roman" w:hAnsi="Times New Roman"/>
          <w:b w:val="false"/>
          <w:i w:val="false"/>
          <w:color w:val="000000"/>
          <w:sz w:val="16"/>
        </w:rPr>
        <w:t>, IAB 9/4/24, effective 10/9/24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441—11.5</w:t>
      </w:r>
      <w:r>
        <w:rPr>
          <w:rFonts w:ascii="Times New Roman" w:hAnsi="Times New Roman"/>
          <w:b/>
          <w:i w:val="false"/>
          <w:color w:val="000000"/>
          <w:sz w:val="22"/>
        </w:rPr>
        <w:t xml:space="preserve">(234) </w:t>
      </w:r>
      <w:r>
        <w:rPr>
          <w:rFonts w:ascii="Times New Roman" w:hAnsi="Times New Roman"/>
          <w:b/>
          <w:i w:val="false"/>
          <w:color w:val="000000"/>
          <w:sz w:val="22"/>
        </w:rPr>
        <w:t xml:space="preserve">Setoff against federal income tax refund or other federal payments, including, for example, federal employee wages.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w:t>
      </w:r>
      <w:r>
        <w:rPr>
          <w:rFonts w:ascii="Times New Roman" w:hAnsi="Times New Roman"/>
          <w:b w:val="false"/>
          <w:i w:val="false"/>
          <w:color w:val="000000"/>
          <w:sz w:val="22"/>
        </w:rPr>
        <w:t> </w:t>
      </w:r>
      <w:r>
        <w:rPr>
          <w:rFonts w:ascii="Times New Roman" w:hAnsi="Times New Roman"/>
          <w:b w:val="false"/>
          <w:i/>
          <w:color w:val="000000"/>
          <w:sz w:val="22"/>
        </w:rPr>
        <w:t xml:space="preserve">Criteria for setoff.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Debtors not participating in SNAP shall be subject to collection action through the treasury offset program (TOP) which includes, but is not limited to, federal salary offset and federal tax refund offset.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Debtors shall be referred to TOP if they are delinquent in repaying their SNAP debt and there is a claim or combination of claims with an unpaid balance that exceeds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 claim that is less than three months old or more than ten years old as of January 31 of the offset year shall be referred. </w:t>
      </w:r>
      <w:r>
        <w:rPr>
          <w:rFonts w:ascii="Times New Roman" w:hAnsi="Times New Roman"/>
          <w:b w:val="false"/>
          <w:i w:val="false"/>
          <w:color w:val="000000"/>
          <w:sz w:val="22"/>
        </w:rPr>
        <w:t>EXCEPTION:</w:t>
      </w:r>
      <w:r>
        <w:rPr>
          <w:rFonts w:ascii="Times New Roman" w:hAnsi="Times New Roman"/>
          <w:b w:val="false"/>
          <w:i w:val="false"/>
          <w:color w:val="000000"/>
          <w:sz w:val="22"/>
        </w:rPr>
        <w:t xml:space="preserve"> Claims that have had a final judgment entered are not subject to the ten-year time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Debtors are delinquent in repaying their SNAP debt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repayment agreement has not been signed and 120 days have elapsed since the due date of the demand letter as defined in </w:t>
      </w:r>
      <w:hyperlink r:id="rId10">
        <w:r>
          <w:rPr>
            <w:rStyle w:val="Hyperlink"/>
            <w:rFonts w:ascii="Times New Roman" w:hAnsi="Times New Roman"/>
            <w:b w:val="false"/>
            <w:i w:val="false"/>
            <w:color w:val="000000"/>
            <w:sz w:val="22"/>
          </w:rPr>
          <w:t>441—subrule 65.21(4)</w:t>
        </w:r>
      </w:hyperlink>
      <w:r>
        <w:rPr>
          <w:rFonts w:ascii="Times New Roman" w:hAnsi="Times New Roman"/>
          <w:b w:val="false"/>
          <w:i w:val="false"/>
          <w:color w:val="000000"/>
          <w:sz w:val="22"/>
        </w:rPr>
        <w:t xml:space="preserve"> minus any days the claim was not subject to collection action because of an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repayment agreement has been signed but the debtor has failed to make the agreed-upon payments and has failed to make up the missed payments. The debtor shall be referred to TOP when 120 days have elapsed since the first of the month following the month that the debtor failed to make the agreed-upon payment and has not subsequently made up the missed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claim against an individual will not be referred to TOP by the department of inspections, appeals, and licensing (DIAL) for debts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debt is in suspended status due to an exception to policy or is in an appeal status,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debt is being recovered through benefit reduction.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w:t>
      </w:r>
      <w:r>
        <w:rPr>
          <w:rFonts w:ascii="Times New Roman" w:hAnsi="Times New Roman"/>
          <w:b w:val="false"/>
          <w:i w:val="false"/>
          <w:color w:val="000000"/>
          <w:sz w:val="22"/>
        </w:rPr>
        <w:t> </w:t>
      </w:r>
      <w:r>
        <w:rPr>
          <w:rFonts w:ascii="Times New Roman" w:hAnsi="Times New Roman"/>
          <w:b w:val="false"/>
          <w:i/>
          <w:color w:val="000000"/>
          <w:sz w:val="22"/>
        </w:rPr>
        <w:t xml:space="preserve">Setoff under TOP. </w:t>
      </w:r>
      <w:r>
        <w:rPr>
          <w:rFonts w:ascii="Times New Roman" w:hAnsi="Times New Roman"/>
          <w:b w:val="false"/>
          <w:i w:val="false"/>
          <w:color w:val="000000"/>
          <w:sz w:val="22"/>
        </w:rPr>
        <w:t>DIAL shall, by December 1 of each year, submit a notification of liability for delinquent claims to the Department of the Treasury.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w:t>
      </w:r>
      <w:r>
        <w:rPr>
          <w:rFonts w:ascii="Times New Roman" w:hAnsi="Times New Roman"/>
          <w:b w:val="false"/>
          <w:i w:val="false"/>
          <w:color w:val="000000"/>
          <w:sz w:val="22"/>
        </w:rPr>
        <w:t> </w:t>
      </w:r>
      <w:r>
        <w:rPr>
          <w:rFonts w:ascii="Times New Roman" w:hAnsi="Times New Roman"/>
          <w:b w:val="false"/>
          <w:i/>
          <w:color w:val="000000"/>
          <w:sz w:val="22"/>
        </w:rPr>
        <w:t xml:space="preserve">Pre-setoff notice. </w:t>
      </w:r>
      <w:r>
        <w:rPr>
          <w:rFonts w:ascii="Times New Roman" w:hAnsi="Times New Roman"/>
          <w:b w:val="false"/>
          <w:i w:val="false"/>
          <w:color w:val="000000"/>
          <w:sz w:val="22"/>
        </w:rPr>
        <w:t>DIAL shall notify a debtor identifying the amount the department intends to refer to TOP for offset.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w:t>
      </w:r>
      <w:r>
        <w:rPr>
          <w:rFonts w:ascii="Times New Roman" w:hAnsi="Times New Roman"/>
          <w:b w:val="false"/>
          <w:i w:val="false"/>
          <w:color w:val="000000"/>
          <w:sz w:val="22"/>
        </w:rPr>
        <w:t> </w:t>
      </w:r>
      <w:r>
        <w:rPr>
          <w:rFonts w:ascii="Times New Roman" w:hAnsi="Times New Roman"/>
          <w:b w:val="false"/>
          <w:i/>
          <w:color w:val="000000"/>
          <w:sz w:val="22"/>
        </w:rPr>
        <w:t xml:space="preserve">Offset fee. </w:t>
      </w:r>
      <w:r>
        <w:rPr>
          <w:rFonts w:ascii="Times New Roman" w:hAnsi="Times New Roman"/>
          <w:b w:val="false"/>
          <w:i w:val="false"/>
          <w:color w:val="000000"/>
          <w:sz w:val="22"/>
        </w:rPr>
        <w:t>For each offset that the Department of the Treasury effects against an individual referred to TOP, Treasury will charge the individual a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11.5(5)</w:t>
      </w:r>
      <w:r>
        <w:rPr>
          <w:rFonts w:ascii="Times New Roman" w:hAnsi="Times New Roman"/>
          <w:b w:val="false"/>
          <w:i w:val="false"/>
          <w:color w:val="000000"/>
          <w:sz w:val="22"/>
        </w:rPr>
        <w:t> </w:t>
      </w:r>
      <w:r>
        <w:rPr>
          <w:rFonts w:ascii="Times New Roman" w:hAnsi="Times New Roman"/>
          <w:b w:val="false"/>
          <w:i/>
          <w:color w:val="000000"/>
          <w:sz w:val="22"/>
        </w:rPr>
        <w:t xml:space="preserve">Appeal rights. </w:t>
      </w:r>
      <w:r>
        <w:rPr>
          <w:rFonts w:ascii="Times New Roman" w:hAnsi="Times New Roman"/>
          <w:b w:val="false"/>
          <w:i w:val="false"/>
          <w:color w:val="000000"/>
          <w:sz w:val="22"/>
        </w:rPr>
        <w:t>When an individual wishes to contest the delinquent status of a claim as identified by DIAL, a written request shall be submitted to DIAL within 60 days of the date of the pre-offset notice. When the request is received within the 60-day limit, a review shall be granted.</w:t>
      </w:r>
    </w:p>
    <w:p>
      <w:pPr>
        <w:spacing w:before="0" w:after="0"/>
        <w:ind w:left="120"/>
        <w:jc w:val="both"/>
      </w:pPr>
      <w:r>
        <w:rPr>
          <w:rFonts w:ascii="Times New Roman" w:hAnsi="Times New Roman"/>
          <w:b w:val="false"/>
          <w:i w:val="false"/>
          <w:color w:val="000000"/>
          <w:sz w:val="22"/>
        </w:rPr>
        <w:t>DIAL shall determine if the claim is past due and legally enforceable and shall notify the individual in writing of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11.5(6)</w:t>
      </w:r>
      <w:r>
        <w:rPr>
          <w:rFonts w:ascii="Times New Roman" w:hAnsi="Times New Roman"/>
          <w:b w:val="false"/>
          <w:i w:val="false"/>
          <w:color w:val="000000"/>
          <w:sz w:val="22"/>
        </w:rPr>
        <w:t> </w:t>
      </w:r>
      <w:r>
        <w:rPr>
          <w:rFonts w:ascii="Times New Roman" w:hAnsi="Times New Roman"/>
          <w:b w:val="false"/>
          <w:i/>
          <w:color w:val="000000"/>
          <w:sz w:val="22"/>
        </w:rPr>
        <w:t xml:space="preserve">Application of setoff. </w:t>
      </w:r>
      <w:r>
        <w:rPr>
          <w:rFonts w:ascii="Times New Roman" w:hAnsi="Times New Roman"/>
          <w:b w:val="false"/>
          <w:i w:val="false"/>
          <w:color w:val="000000"/>
          <w:sz w:val="22"/>
        </w:rPr>
        <w:t>DIAL shall apply any setoff received as a result of this rule to the individual’s SNAP debts.</w:t>
      </w:r>
    </w:p>
    <w:p>
      <w:pPr>
        <w:spacing w:before="0" w:after="0"/>
        <w:ind w:left="120"/>
        <w:jc w:val="both"/>
      </w:pPr>
      <w:r>
        <w:rPr>
          <w:rFonts w:ascii="Times New Roman" w:hAnsi="Times New Roman"/>
          <w:b w:val="false"/>
          <w:i w:val="false"/>
          <w:color w:val="000000"/>
          <w:sz w:val="22"/>
        </w:rPr>
        <w:t>Any amount remaining after the setoff shall be released back to the individual.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8205C</w:t>
      </w:r>
      <w:r>
        <w:rPr>
          <w:rFonts w:ascii="Times New Roman" w:hAnsi="Times New Roman"/>
          <w:b w:val="false"/>
          <w:i w:val="false"/>
          <w:color w:val="000000"/>
          <w:sz w:val="16"/>
        </w:rPr>
        <w:t>, IAB 9/4/24, effective 10/9/24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1">
        <w:r>
          <w:rPr>
            <w:rStyle w:val="Hyperlink"/>
            <w:rFonts w:ascii="Times New Roman" w:hAnsi="Times New Roman"/>
            <w:b w:val="false"/>
            <w:i w:val="false"/>
            <w:color w:val="000000"/>
            <w:sz w:val="22"/>
          </w:rPr>
          <w:t>217.34</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234.12</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239B.14</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249A.5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11/1/84, Notice 9/12/84—published 11/21/84, effective 1/1/85]</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10/12/90, Notice 8/22/90—published 10/31/90, effective 1/1/91]</w:t>
      </w:r>
    </w:p>
    <w:p>
      <w:pPr>
        <w:spacing w:before="0" w:after="0"/>
        <w:ind w:left="120"/>
        <w:jc w:val="center"/>
      </w:pPr>
      <w:r>
        <w:rPr>
          <w:rFonts w:ascii="Times New Roman" w:hAnsi="Times New Roman"/>
          <w:b w:val="false"/>
          <w:i w:val="false"/>
          <w:color w:val="000000"/>
          <w:sz w:val="21"/>
        </w:rPr>
        <w:t>[Filed 1/16/92, Notice 11/27/91—published 2/5/92, effective 4/1/92]</w:t>
      </w:r>
    </w:p>
    <w:p>
      <w:pPr>
        <w:spacing w:before="0" w:after="0"/>
        <w:ind w:left="120"/>
        <w:jc w:val="center"/>
      </w:pPr>
      <w:r>
        <w:rPr>
          <w:rFonts w:ascii="Times New Roman" w:hAnsi="Times New Roman"/>
          <w:b w:val="false"/>
          <w:i w:val="false"/>
          <w:color w:val="000000"/>
          <w:sz w:val="21"/>
        </w:rPr>
        <w:t>[Filed emergency 9/19/96—published 10/9/96, effective 9/21/96]</w:t>
      </w:r>
    </w:p>
    <w:p>
      <w:pPr>
        <w:spacing w:before="0" w:after="0"/>
        <w:ind w:left="120"/>
        <w:jc w:val="center"/>
      </w:pPr>
      <w:r>
        <w:rPr>
          <w:rFonts w:ascii="Times New Roman" w:hAnsi="Times New Roman"/>
          <w:b w:val="false"/>
          <w:i w:val="false"/>
          <w:color w:val="000000"/>
          <w:sz w:val="21"/>
        </w:rPr>
        <w:t>[Filed 12/12/96, Notice 10/9/96—published 1/1/97, effective 3/1/97]</w:t>
      </w:r>
    </w:p>
    <w:p>
      <w:pPr>
        <w:spacing w:before="0" w:after="0"/>
        <w:ind w:left="120"/>
        <w:jc w:val="center"/>
      </w:pPr>
      <w:r>
        <w:rPr>
          <w:rFonts w:ascii="Times New Roman" w:hAnsi="Times New Roman"/>
          <w:b w:val="false"/>
          <w:i w:val="false"/>
          <w:color w:val="000000"/>
          <w:sz w:val="21"/>
        </w:rPr>
        <w:t>[Filed 6/10/98, Notice 5/6/98—published 7/1/98, effective 8/5/98]</w:t>
      </w:r>
    </w:p>
    <w:p>
      <w:pPr>
        <w:spacing w:before="0" w:after="0"/>
        <w:ind w:left="120"/>
        <w:jc w:val="center"/>
      </w:pPr>
      <w:r>
        <w:rPr>
          <w:rFonts w:ascii="Times New Roman" w:hAnsi="Times New Roman"/>
          <w:b w:val="false"/>
          <w:i w:val="false"/>
          <w:color w:val="000000"/>
          <w:sz w:val="21"/>
        </w:rPr>
        <w:t>[Filed 2/14/01, Notice 11/29/00—published 3/7/01, effective 5/1/01]</w:t>
      </w:r>
    </w:p>
    <w:p>
      <w:pPr>
        <w:spacing w:before="0" w:after="0"/>
        <w:ind w:left="120"/>
        <w:jc w:val="center"/>
      </w:pPr>
      <w:r>
        <w:rPr>
          <w:rFonts w:ascii="Times New Roman" w:hAnsi="Times New Roman"/>
          <w:b w:val="false"/>
          <w:i w:val="false"/>
          <w:color w:val="000000"/>
          <w:sz w:val="21"/>
        </w:rPr>
        <w:t>[Filed 2/14/02, Notice 1/9/02—published 3/6/02, effective 5/1/02]</w:t>
      </w:r>
    </w:p>
    <w:p>
      <w:pPr>
        <w:spacing w:before="0" w:after="0"/>
        <w:ind w:left="120"/>
        <w:jc w:val="center"/>
      </w:pPr>
      <w:r>
        <w:rPr>
          <w:rFonts w:ascii="Times New Roman" w:hAnsi="Times New Roman"/>
          <w:b w:val="false"/>
          <w:i w:val="false"/>
          <w:color w:val="000000"/>
          <w:sz w:val="21"/>
        </w:rPr>
        <w:t>[Filed 9/22/03, Notice 7/23/03—published 10/15/03, effective 12/1/03]</w:t>
      </w:r>
    </w:p>
    <w:p>
      <w:pPr>
        <w:spacing w:before="0" w:after="0"/>
        <w:ind w:left="120"/>
        <w:jc w:val="center"/>
      </w:pPr>
      <w:r>
        <w:rPr>
          <w:rFonts w:ascii="Times New Roman" w:hAnsi="Times New Roman"/>
          <w:b w:val="false"/>
          <w:i w:val="false"/>
          <w:color w:val="000000"/>
          <w:sz w:val="21"/>
        </w:rPr>
        <w:t>[Filed emergency 11/16/05—published 12/7/06, effective 12/1/05]</w:t>
      </w:r>
    </w:p>
    <w:p>
      <w:pPr>
        <w:spacing w:before="0" w:after="0"/>
        <w:ind w:left="120"/>
        <w:jc w:val="center"/>
      </w:pPr>
      <w:r>
        <w:rPr>
          <w:rFonts w:ascii="Times New Roman" w:hAnsi="Times New Roman"/>
          <w:b w:val="false"/>
          <w:i w:val="false"/>
          <w:color w:val="000000"/>
          <w:sz w:val="21"/>
        </w:rPr>
        <w:t>[Filed emergency 10/10/07—published 11/7/07, effective 11/1/07]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11/7/07</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7829B</w:t>
      </w:r>
      <w:r>
        <w:rPr>
          <w:rFonts w:ascii="Times New Roman" w:hAnsi="Times New Roman"/>
          <w:b w:val="false"/>
          <w:i w:val="false"/>
          <w:color w:val="000000"/>
          <w:sz w:val="21"/>
        </w:rPr>
        <w:t xml:space="preserve"> (Notice ARC 7654B, IAB 3/25/09)</w:t>
      </w:r>
      <w:r>
        <w:rPr>
          <w:rFonts w:ascii="Times New Roman" w:hAnsi="Times New Roman"/>
          <w:b w:val="false"/>
          <w:i w:val="false"/>
          <w:color w:val="000000"/>
          <w:sz w:val="21"/>
        </w:rPr>
        <w:t>, IAB 6/3/09, effective 7/8/09]</w:t>
      </w:r>
    </w:p>
    <w:p>
      <w:pPr>
        <w:spacing w:before="0" w:after="0"/>
        <w:ind w:left="120"/>
        <w:jc w:val="center"/>
      </w:pPr>
      <w:r>
        <w:rPr>
          <w:rFonts w:ascii="Times New Roman" w:hAnsi="Times New Roman"/>
          <w:b w:val="false"/>
          <w:i w:val="false"/>
          <w:color w:val="000000"/>
          <w:sz w:val="21"/>
        </w:rPr>
        <w:t>[Filed Emergency ARC 9701B, IAB 9/7/11, effective 9/1/11]</w:t>
      </w:r>
    </w:p>
    <w:p>
      <w:pPr>
        <w:spacing w:before="0" w:after="0"/>
        <w:ind w:left="120"/>
        <w:jc w:val="center"/>
      </w:pPr>
      <w:r>
        <w:rPr>
          <w:rFonts w:ascii="Times New Roman" w:hAnsi="Times New Roman"/>
          <w:b w:val="false"/>
          <w:i w:val="false"/>
          <w:color w:val="000000"/>
          <w:sz w:val="21"/>
        </w:rPr>
        <w:t>[Filed Emergency After Notice ARC 2884C</w:t>
      </w:r>
      <w:r>
        <w:rPr>
          <w:rFonts w:ascii="Times New Roman" w:hAnsi="Times New Roman"/>
          <w:b w:val="false"/>
          <w:i w:val="false"/>
          <w:color w:val="000000"/>
          <w:sz w:val="21"/>
        </w:rPr>
        <w:t xml:space="preserve"> (Notice ARC 2770C, IAB 10/12/16)</w:t>
      </w:r>
      <w:r>
        <w:rPr>
          <w:rFonts w:ascii="Times New Roman" w:hAnsi="Times New Roman"/>
          <w:b w:val="false"/>
          <w:i w:val="false"/>
          <w:color w:val="000000"/>
          <w:sz w:val="21"/>
        </w:rPr>
        <w:t>, IAB 1/4/17, effective 12/14/16]</w:t>
      </w:r>
    </w:p>
    <w:p>
      <w:pPr>
        <w:spacing w:before="0" w:after="0"/>
        <w:ind w:left="120"/>
        <w:jc w:val="center"/>
      </w:pPr>
      <w:r>
        <w:rPr>
          <w:rFonts w:ascii="Times New Roman" w:hAnsi="Times New Roman"/>
          <w:b w:val="false"/>
          <w:i w:val="false"/>
          <w:color w:val="000000"/>
          <w:sz w:val="21"/>
        </w:rPr>
        <w:t>[Filed ARC 6495C</w:t>
      </w:r>
      <w:r>
        <w:rPr>
          <w:rFonts w:ascii="Times New Roman" w:hAnsi="Times New Roman"/>
          <w:b w:val="false"/>
          <w:i w:val="false"/>
          <w:color w:val="000000"/>
          <w:sz w:val="21"/>
        </w:rPr>
        <w:t xml:space="preserve"> (Notice ARC 6362C, IAB 6/15/22)</w:t>
      </w:r>
      <w:r>
        <w:rPr>
          <w:rFonts w:ascii="Times New Roman" w:hAnsi="Times New Roman"/>
          <w:b w:val="false"/>
          <w:i w:val="false"/>
          <w:color w:val="000000"/>
          <w:sz w:val="21"/>
        </w:rPr>
        <w:t>, IAB 9/7/22, effective 11/1/22]</w:t>
      </w:r>
    </w:p>
    <w:p>
      <w:pPr>
        <w:spacing w:before="0" w:after="0"/>
        <w:ind w:left="120"/>
        <w:jc w:val="center"/>
      </w:pPr>
      <w:r>
        <w:rPr>
          <w:rFonts w:ascii="Times New Roman" w:hAnsi="Times New Roman"/>
          <w:b w:val="false"/>
          <w:i w:val="false"/>
          <w:color w:val="000000"/>
          <w:sz w:val="21"/>
        </w:rPr>
        <w:t>[Filed ARC 8205C</w:t>
      </w:r>
      <w:r>
        <w:rPr>
          <w:rFonts w:ascii="Times New Roman" w:hAnsi="Times New Roman"/>
          <w:b w:val="false"/>
          <w:i w:val="false"/>
          <w:color w:val="000000"/>
          <w:sz w:val="21"/>
        </w:rPr>
        <w:t xml:space="preserve"> (Notice ARC 7365C, IAB 1/24/24)</w:t>
      </w:r>
      <w:r>
        <w:rPr>
          <w:rFonts w:ascii="Times New Roman" w:hAnsi="Times New Roman"/>
          <w:b w:val="false"/>
          <w:i w:val="false"/>
          <w:color w:val="000000"/>
          <w:sz w:val="21"/>
        </w:rPr>
        <w:t>, IAB 9/4/24, effective 10/9/24]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11.2.pdf" Type="http://schemas.openxmlformats.org/officeDocument/2006/relationships/hyperlink" Id="rId5"/>
    <Relationship TargetMode="External" Target="https://www.legis.iowa.gov/docs/iac/rule/441.11.4.pdf" Type="http://schemas.openxmlformats.org/officeDocument/2006/relationships/hyperlink" Id="rId6"/>
    <Relationship TargetMode="External" Target="https://www.legis.iowa.gov/docs/iac/rule/441.11.4.pdf" Type="http://schemas.openxmlformats.org/officeDocument/2006/relationships/hyperlink" Id="rId7"/>
    <Relationship TargetMode="External" Target="https://www.legis.iowa.gov/docs/iac/chapter/441.7.pdf" Type="http://schemas.openxmlformats.org/officeDocument/2006/relationships/hyperlink" Id="rId8"/>
    <Relationship TargetMode="External" Target="https://www.legis.iowa.gov/docs/iac/rule/441.11.3.pdf" Type="http://schemas.openxmlformats.org/officeDocument/2006/relationships/hyperlink" Id="rId9"/>
    <Relationship TargetMode="External" Target="https://www.legis.iowa.gov/docs/iac/rule/441.65.21.pdf" Type="http://schemas.openxmlformats.org/officeDocument/2006/relationships/hyperlink" Id="rId10"/>
    <Relationship TargetMode="External" Target="https://www.legis.iowa.gov/docs/ico/chapter/217.34.pdf" Type="http://schemas.openxmlformats.org/officeDocument/2006/relationships/hyperlink" Id="rId11"/>
    <Relationship TargetMode="External" Target="https://www.legis.iowa.gov/docs/ico/chapter/234.12.pdf" Type="http://schemas.openxmlformats.org/officeDocument/2006/relationships/hyperlink" Id="rId12"/>
    <Relationship TargetMode="External" Target="https://www.legis.iowa.gov/docs/ico/chapter/239B.14.pdf" Type="http://schemas.openxmlformats.org/officeDocument/2006/relationships/hyperlink" Id="rId13"/>
    <Relationship TargetMode="External" Target="https://www.legis.iowa.gov/docs/ico/chapter/249A.5.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