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STATE TRAINING SCHOOL</w:t>
      </w:r>
    </w:p>
    <w:p>
      <w:pPr>
        <w:spacing w:before="0" w:after="0"/>
        <w:ind w:left="120"/>
        <w:jc w:val="center"/>
      </w:pPr>
      <w:r>
        <w:rPr>
          <w:rFonts w:ascii="Times New Roman" w:hAnsi="Times New Roman"/>
          <w:b w:val="false"/>
          <w:i w:val="false"/>
          <w:color w:val="000000"/>
          <w:sz w:val="14"/>
        </w:rPr>
        <w:t>[Prior to 7/1/83, Social Services[770] Ch 103]</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441—103.1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under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“Contraband” </w:t>
      </w:r>
      <w:r>
        <w:rPr>
          <w:rFonts w:ascii="Times New Roman" w:hAnsi="Times New Roman"/>
          <w:b w:val="false"/>
          <w:i w:val="false"/>
          <w:color w:val="000000"/>
          <w:sz w:val="22"/>
        </w:rPr>
        <w:t xml:space="preserve">means weapons, ammunition, tobacco, alcohol, drugs, money, altered authorized property, mood-altering plant material, obscene material as defined in Iowa Code section </w:t>
      </w:r>
      <w:hyperlink r:id="rId5">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 that can be used in the manufacture of explosives, or material advocating disruption of or injury to residents, employees, programs, or physical facilities. “Contraband” includes anything which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administrator” </w:t>
      </w:r>
      <w:r>
        <w:rPr>
          <w:rFonts w:ascii="Times New Roman" w:hAnsi="Times New Roman"/>
          <w:b w:val="false"/>
          <w:i w:val="false"/>
          <w:color w:val="000000"/>
          <w:sz w:val="22"/>
        </w:rPr>
        <w:t>means the administrator of the division of mental health and disability services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state training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spouse, child, parent, sibling, or 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or bequest” </w:t>
      </w:r>
      <w:r>
        <w:rPr>
          <w:rFonts w:ascii="Times New Roman" w:hAnsi="Times New Roman"/>
          <w:b w:val="false"/>
          <w:i w:val="false"/>
          <w:color w:val="000000"/>
          <w:sz w:val="22"/>
        </w:rPr>
        <w:t>means anything of value that a facility receives that is intended for use directly by the employees of the facility. Items intended for public distribution, such as clothes or furniture, do not constitute a gift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written or oral complaint by or on behalf of an individual that involves: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individual,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aspect of the individual’s life with which the individual does not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 xml:space="preserve">as used in this chapter, means any child who is committed to the director of the department of human services and is admitted to and receives services from the state training school. The terms “student,” “resident,” “juvenile,” and “youth” are synonymous with the term “individual.” For purposes of the state training school, the term shall also include a person whose stay is extended beyond the age of 18 under the provisions of Iowa Code sections </w:t>
      </w:r>
      <w:hyperlink r:id="rId6">
        <w:r>
          <w:rPr>
            <w:rStyle w:val="Hyperlink"/>
            <w:rFonts w:ascii="Times New Roman" w:hAnsi="Times New Roman"/>
            <w:b w:val="false"/>
            <w:i w:val="false"/>
            <w:color w:val="000000"/>
            <w:sz w:val="22"/>
          </w:rPr>
          <w:t>232.53(2)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232.53(4)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sex offender registry” </w:t>
      </w:r>
      <w:r>
        <w:rPr>
          <w:rFonts w:ascii="Times New Roman" w:hAnsi="Times New Roman"/>
          <w:b w:val="false"/>
          <w:i w:val="false"/>
          <w:color w:val="000000"/>
          <w:sz w:val="22"/>
        </w:rPr>
        <w:t xml:space="preserve">means a central registry of sex offenders established under Iowa Code chapter </w:t>
      </w:r>
      <w:hyperlink r:id="rId8">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that is maintained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court officer”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232.2(30)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offender” </w:t>
      </w:r>
      <w:r>
        <w:rPr>
          <w:rFonts w:ascii="Times New Roman" w:hAnsi="Times New Roman"/>
          <w:b w:val="false"/>
          <w:i w:val="false"/>
          <w:color w:val="000000"/>
          <w:sz w:val="22"/>
        </w:rPr>
        <w:t xml:space="preserve">means a juvenile who is required to be registered with the Iowa sex offender registry and with the sheriff of the juvenile’s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including an attorney, who is authorized by law to act on behalf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 xml:space="preserve">means all forms of currency, checks, money orders, stocks, bonds, and any other item that can be used as a medium of exchange for payment for goods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means the submission of registration forms to the Iowa sex offender registry and to the sheriff of the person’s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training school” </w:t>
      </w:r>
      <w:r>
        <w:rPr>
          <w:rFonts w:ascii="Times New Roman" w:hAnsi="Times New Roman"/>
          <w:b w:val="false"/>
          <w:i w:val="false"/>
          <w:color w:val="000000"/>
          <w:sz w:val="22"/>
        </w:rPr>
        <w:t xml:space="preserve">means the unit for juvenile delinquents at the Eldora facility as defined in Iowa Code section </w:t>
      </w:r>
      <w:hyperlink r:id="rId10">
        <w:r>
          <w:rPr>
            <w:rStyle w:val="Hyperlink"/>
            <w:rFonts w:ascii="Times New Roman" w:hAnsi="Times New Roman"/>
            <w:b w:val="false"/>
            <w:i w:val="false"/>
            <w:color w:val="000000"/>
            <w:sz w:val="22"/>
          </w:rPr>
          <w:t>233A.1(2)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“Tobacco” </w:t>
      </w:r>
      <w:r>
        <w:rPr>
          <w:rFonts w:ascii="Times New Roman" w:hAnsi="Times New Roman"/>
          <w:b w:val="false"/>
          <w:i w:val="false"/>
          <w:color w:val="000000"/>
          <w:sz w:val="22"/>
        </w:rPr>
        <w:t>means all forms of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means any gun, knife, tool, object, or chemical that can be used to inflict harm on one’s self or another.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441—103.2</w:t>
      </w:r>
      <w:r>
        <w:rPr>
          <w:rFonts w:ascii="Times New Roman" w:hAnsi="Times New Roman"/>
          <w:b/>
          <w:i w:val="false"/>
          <w:color w:val="000000"/>
          <w:sz w:val="22"/>
        </w:rPr>
        <w:t xml:space="preserve">(218) </w:t>
      </w:r>
      <w:r>
        <w:rPr>
          <w:rFonts w:ascii="Times New Roman" w:hAnsi="Times New Roman"/>
          <w:b/>
          <w:i w:val="false"/>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Population guidelines. </w:t>
      </w:r>
      <w:r>
        <w:rPr>
          <w:rFonts w:ascii="Times New Roman" w:hAnsi="Times New Roman"/>
          <w:b w:val="false"/>
          <w:i w:val="false"/>
          <w:color w:val="000000"/>
          <w:sz w:val="22"/>
        </w:rPr>
        <w:t>The facility population level shall be based on the population guidelines that the judicial branch, in consultation with the department, develops on the number of individuals who may be placed at a juvenile facility at any one time. Pursuant to those guidelines and the responsibility of the superintendents for admission of individuals, the superintendents and the chief juvenile court officers shall allocate to each judicial district the number of children from each district who may be placed in the facility for diagnosis and evaluation and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child. </w:t>
      </w:r>
      <w:r>
        <w:rPr>
          <w:rFonts w:ascii="Times New Roman" w:hAnsi="Times New Roman"/>
          <w:b w:val="false"/>
          <w:i w:val="false"/>
          <w:color w:val="000000"/>
          <w:sz w:val="22"/>
        </w:rPr>
        <w:t xml:space="preserve">A certified copy of the court order which complies with Iowa Code chapter </w:t>
      </w:r>
      <w:hyperlink r:id="rId1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shall accompany the child to the facility, along with the relevant petitions.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shall be accepted for evaluation as specified in the court order only when a diagnostic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shall be accepted into the regular program as specified in the court order only when a treatment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adjudicated as a child in need of assistance shall not be admitted to the state training school,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diagnosis and evaluation and then only when a current petition is on file that alleges the child to have committed a delinquent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 is also adjudicated delinquent and meets admission criteria for the state training school as a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superintendent or chief juvenile court officer shall notify the court when the appropriate space, service, or program is not available so that admission can be ordered when the facility can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Time of admission. </w:t>
      </w:r>
      <w:r>
        <w:rPr>
          <w:rFonts w:ascii="Times New Roman" w:hAnsi="Times New Roman"/>
          <w:b w:val="false"/>
          <w:i w:val="false"/>
          <w:color w:val="000000"/>
          <w:sz w:val="22"/>
        </w:rPr>
        <w:t>When a child is to be admitted to the state training school, arrangements shall be made for the actual admission to occur between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4:30 p.m., Monday through Friday, whenever possible.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441—103.3</w:t>
      </w:r>
      <w:r>
        <w:rPr>
          <w:rFonts w:ascii="Times New Roman" w:hAnsi="Times New Roman"/>
          <w:b/>
          <w:i w:val="false"/>
          <w:color w:val="000000"/>
          <w:sz w:val="22"/>
        </w:rPr>
        <w:t xml:space="preserve">(218) </w:t>
      </w:r>
      <w:r>
        <w:rPr>
          <w:rFonts w:ascii="Times New Roman" w:hAnsi="Times New Roman"/>
          <w:b/>
          <w:i w:val="false"/>
          <w:color w:val="000000"/>
          <w:sz w:val="22"/>
        </w:rPr>
        <w:t xml:space="preserve">Plan of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Individual care plan conference. </w:t>
      </w:r>
      <w:r>
        <w:rPr>
          <w:rFonts w:ascii="Times New Roman" w:hAnsi="Times New Roman"/>
          <w:b w:val="false"/>
          <w:i w:val="false"/>
          <w:color w:val="000000"/>
          <w:sz w:val="22"/>
        </w:rPr>
        <w:t>At least ten working days before the individual care plan conference, the facility shall provide written notification of the time, date and nature of the conference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Special meeting. </w:t>
      </w:r>
      <w:r>
        <w:rPr>
          <w:rFonts w:ascii="Times New Roman" w:hAnsi="Times New Roman"/>
          <w:b w:val="false"/>
          <w:i w:val="false"/>
          <w:color w:val="000000"/>
          <w:sz w:val="22"/>
        </w:rPr>
        <w:t>Whenever special concerns and needs arise regarding an individual, the superintendent or designee shall schedule a meeting to evaluate and formulate appropriate changes in the individual care plan. Notice of the meeting shall be issued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juvenile court officer;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relevant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Prerelease conference. </w:t>
      </w:r>
      <w:r>
        <w:rPr>
          <w:rFonts w:ascii="Times New Roman" w:hAnsi="Times New Roman"/>
          <w:b w:val="false"/>
          <w:i w:val="false"/>
          <w:color w:val="000000"/>
          <w:sz w:val="22"/>
        </w:rPr>
        <w:t>A conference shall be held 30 days before any anticipated release of an individual from the regular program. At least 5 working days before the conference, the facility shall provide written notice of the time, date, and purpose of the conference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441—103.4</w:t>
      </w:r>
      <w:r>
        <w:rPr>
          <w:rFonts w:ascii="Times New Roman" w:hAnsi="Times New Roman"/>
          <w:b/>
          <w:i w:val="false"/>
          <w:color w:val="000000"/>
          <w:sz w:val="22"/>
        </w:rPr>
        <w:t xml:space="preserve">(218) </w:t>
      </w:r>
      <w:r>
        <w:rPr>
          <w:rFonts w:ascii="Times New Roman" w:hAnsi="Times New Roman"/>
          <w:b/>
          <w:i w:val="false"/>
          <w:color w:val="000000"/>
          <w:sz w:val="22"/>
        </w:rPr>
        <w:t xml:space="preserve">Communication with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Approval of the superintendent or designee is required for all incoming telephone calls for an individual before the conversation occurs. An authorized employee shall verify the identity of the caller before approval is given. Approved telephone calls shall not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Outgoing or incoming letters and packages shall not be opened, read, censored, or tampered with in any manner except that, to search for and seize contraband, an employee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but not read, incoming and outgoing letters and packages in the presence of the individual to whom the letters and packages belong;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that the individual open the letters and packages in an employee’s presence and disclose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Letters or packages found to contain contraband shall be confiscated. Both the sender and the intended receiver of the confiscated letters and packages shall be notified and given reasons for the action in writing within 48 hours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may terminate correspondence between an individual and another person when the individual’s treatment team has determined that the correspondence is not in the individual’s best interest and is detrimental to the individual’s treatment plan. Termination shall be based on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shall provide justification to terminate the correspondence in a written notice to the correspondents.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Correspondents may file a grievance concerning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Visits.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Visiting hours shall be from 10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Saturday and Sunday. Visits by the individual’s family or legal representative shall be encouraged. Necessary flexibility in these hours and days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designate certain weekdays or holidays for visiting. The resident shall be responsible for informing visitors about designated visiting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during times other than those described in this subrule shall require approval of the superintendent before the day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Other than a family member or legal representative, a person who wants to visit an individual shall obtain prior approval from the individual’s juvenile court officer and the superintendent or designee before visiting. Visitation rights shall be denied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former training school resident unless the former resident is a family member or has prior approval of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parental rights have been terminated or limited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restricted by court order from contact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visitor who refuses to cooperate with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visitor who creates a disturbance or is hostile to the point of being disruptive;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visitor who passes or attempts to pass contraband to an individual or who aids in an escape or attempted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visitor who is under the influence of or has been partaking of drugs or alcoholic beverages;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based on reasonable cause, is believed to pose a risk to the individual’s treatment or to the safety or security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Visitors shall check in with security upon arrival. The employee on duty may request identification of the visitor. Failure to produce identification may result in denial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shall be permitted to visit with up to six family members during any one visit. Family members under 18 years of age shall visit only with adult family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individual shall not be permitted to visit with the family of another individual unless the individual’s juvenile court officer and the superintendent or designee have given prior approval. An individual shall have written authorization of the individual’s juvenile court officer and the superintendent or designee before accompanying parents of another individual off grounds on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The superintendent reserves the right to limit or terminate visiting in all cases when doing so is in the best interests of the individual’s personal and therapeutic needs. When limitation or termination of visiting rights occurs, the superintendent or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notify persons involved why the action was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a written report in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An individual’s attorney shall have the right to visit or have telephone contact with the individual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the right to contact the individual’s attorney during normal business hours and at other times with prior approval of the attorney. Responsibility for payment for the cost of the contact shall be determined before the contact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does not have an attorney shall be referred to the committing court for an attorney to be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Requests to interview an individual made by media (newspapers, television stations, radio stations, etc.), groups, or persons not related to the individual shall be made through the superintendent’s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or designee shall inform the individual of the request and of the individual’s right to agree to participate in the interview or to remain silent and not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interview may have an impact on the individual’s legal status, the superintendent or designee shall contact the individual’s attorney to determine if the attorney has any objection to the individual’s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When the individual agrees to participate, the interview shall be granted at the discretion of the superintendent. The superintendent may deny an interview in situations deemed detrimental to the individual. The person requesting the interview may appeal the superintendent’s decision to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Whenever an interview is granted, at least one facility employee shall be present for the entirety of the interview and shall have the authority to terminate the interview anytime the employee believes the best interests of the individual are not being served. Exceptions to this requirement shall be made when the individual’s interview is with the individual’s own attorney or with state officials acting in an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represented by legal counsel during any interview that is conducted to obtain information that will be or may be used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The superintendent may grant permission for written depositions according to the procedures for granting interviews. Voice recording of depositions shall not be permitted. One copy of the deposition shall be submitted to the superintendent. This rule shall in no way restrict depositions ordered by the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441—103.5</w:t>
      </w:r>
      <w:r>
        <w:rPr>
          <w:rFonts w:ascii="Times New Roman" w:hAnsi="Times New Roman"/>
          <w:b/>
          <w:i w:val="false"/>
          <w:color w:val="000000"/>
          <w:sz w:val="22"/>
        </w:rPr>
        <w:t xml:space="preserve">(218) </w:t>
      </w:r>
      <w:r>
        <w:rPr>
          <w:rFonts w:ascii="Times New Roman" w:hAnsi="Times New Roman"/>
          <w:b/>
          <w:i w:val="false"/>
          <w:color w:val="000000"/>
          <w:sz w:val="22"/>
        </w:rPr>
        <w:t xml:space="preserve">Photographing and recording of individuals. </w:t>
      </w:r>
      <w:r>
        <w:rPr>
          <w:rFonts w:ascii="Times New Roman" w:hAnsi="Times New Roman"/>
          <w:b w:val="false"/>
          <w:i w:val="false"/>
          <w:color w:val="000000"/>
          <w:sz w:val="22"/>
        </w:rPr>
        <w:t>An individual’s parent or legal representative may take photographs or make audio or video recordings of that individual but shall not be authorized to take photographs or make recordings of any 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With the authorization of the superintendent or designee, an individual may take a photograph of another individual with that individual’s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to photograph or record an individual by anyone other than the individual, parent, legal representative, or authorized employee shall be allowed only with the prior authorization of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granted, authorization to photograph or record shall be for one specific use and shall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Photographs and voice or video recordings of an individual for public distribution shall be permitted only with a signed informed consent from the superintendent and the individual’s parent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take photographs or recordings shall make every effort to preserve the inherent dignity of the individual and to preclude exploitation or embarrassment of the individual or the family of the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441—103.6</w:t>
      </w:r>
      <w:r>
        <w:rPr>
          <w:rFonts w:ascii="Times New Roman" w:hAnsi="Times New Roman"/>
          <w:b/>
          <w:i w:val="false"/>
          <w:color w:val="000000"/>
          <w:sz w:val="22"/>
        </w:rPr>
        <w:t xml:space="preserve">(218) </w:t>
      </w:r>
      <w:r>
        <w:rPr>
          <w:rFonts w:ascii="Times New Roman" w:hAnsi="Times New Roman"/>
          <w:b/>
          <w:i w:val="false"/>
          <w:color w:val="000000"/>
          <w:sz w:val="22"/>
        </w:rPr>
        <w:t xml:space="preserve">Employment of individual. </w:t>
      </w:r>
      <w:r>
        <w:rPr>
          <w:rFonts w:ascii="Times New Roman" w:hAnsi="Times New Roman"/>
          <w:b w:val="false"/>
          <w:i w:val="false"/>
          <w:color w:val="000000"/>
          <w:sz w:val="22"/>
        </w:rPr>
        <w:t>Employers that want to hire an individual must obtain approval from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To clarify the employer-individual employment agreement, the superintendent or designee shall communicate to the individual’s employer and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legal responsibilities,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Adherence to child labor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in accordance with the Fair Labor Standards Act. Work of a more skilled nature shall be compensated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responsibility to meet the requirements of the training school, including but not limited to those relating to salary, supervision, transportation, and work hours of the individual.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all payments for the individual’s employment to the facility business office for deposit in the individual’s account. Payment of any nature shall not be given directly to the individual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report a runaway individual to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to the superintendent or designee an individual’s behavior that is unacceptable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An individual’s behavior that is unacceptable to an employer shall not subject the individual to any sanctions, punishment or punitive restriction of privileges unless the behavior constitutes a public offense or violates facility rules. In such case, the individual may be referred to court for prosecution or the facility’s discipline procedure may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The employer, the superintendent or designee, or the individual shall have the right to terminate the employment at any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441—103.7</w:t>
      </w:r>
      <w:r>
        <w:rPr>
          <w:rFonts w:ascii="Times New Roman" w:hAnsi="Times New Roman"/>
          <w:b/>
          <w:i w:val="false"/>
          <w:color w:val="000000"/>
          <w:sz w:val="22"/>
        </w:rPr>
        <w:t xml:space="preserve">(218) </w:t>
      </w:r>
      <w:r>
        <w:rPr>
          <w:rFonts w:ascii="Times New Roman" w:hAnsi="Times New Roman"/>
          <w:b/>
          <w:i w:val="false"/>
          <w:color w:val="000000"/>
          <w:sz w:val="22"/>
        </w:rPr>
        <w:t xml:space="preserve">Temporary home 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An individual may be granted a temporary home visit for up to five days for reasons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attend funerals, weddings, or holiday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job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primary purpose of exploring and improving family and community relations;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preplacement visit to a foster or group home to test the appropriateness of such a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and the individual’s juvenile court officer shall approve a temporary home visit before the visit is scheduled and only after the juvenile court officer has investigated and approved in writing the temporary home visit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Five working days in advance of a visit, the superintendent or designee shall notify the following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temporary placement, if different from the parents’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juvenile court officer;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of an emergency, the notice required by subrule </w:t>
      </w:r>
      <w:hyperlink r:id="rId18">
        <w:r>
          <w:rPr>
            <w:rStyle w:val="Hyperlink"/>
            <w:rFonts w:ascii="Times New Roman" w:hAnsi="Times New Roman"/>
            <w:b w:val="false"/>
            <w:i w:val="false"/>
            <w:color w:val="000000"/>
            <w:sz w:val="22"/>
          </w:rPr>
          <w:t>103.7(3)</w:t>
        </w:r>
      </w:hyperlink>
      <w:r>
        <w:rPr>
          <w:rFonts w:ascii="Times New Roman" w:hAnsi="Times New Roman"/>
          <w:b w:val="false"/>
          <w:i w:val="false"/>
          <w:color w:val="000000"/>
          <w:sz w:val="22"/>
        </w:rPr>
        <w:t xml:space="preserve"> may be delivered by telephone and shall be followed by a written notice explaining the special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In a special case, based on the individual’s treatment needs, the superintendent or designee may extend a temporary home visit when both the superintendent or designee and the individual’s juvenile court officer agree that the proposed extension is appropriate.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441—103.8</w:t>
      </w:r>
      <w:r>
        <w:rPr>
          <w:rFonts w:ascii="Times New Roman" w:hAnsi="Times New Roman"/>
          <w:b/>
          <w:i w:val="false"/>
          <w:color w:val="000000"/>
          <w:sz w:val="22"/>
        </w:rPr>
        <w:t xml:space="preserve">(218) </w:t>
      </w:r>
      <w:r>
        <w:rPr>
          <w:rFonts w:ascii="Times New Roman" w:hAnsi="Times New Roman"/>
          <w:b/>
          <w:i w:val="false"/>
          <w:color w:val="000000"/>
          <w:sz w:val="22"/>
        </w:rPr>
        <w:t xml:space="preserve">Grievances. </w:t>
      </w:r>
      <w:r>
        <w:rPr>
          <w:rFonts w:ascii="Times New Roman" w:hAnsi="Times New Roman"/>
          <w:b w:val="false"/>
          <w:i w:val="false"/>
          <w:color w:val="000000"/>
          <w:sz w:val="22"/>
        </w:rPr>
        <w:t>Any individual who believes the individual’s rights have been violated by the state training school or who has a complaint concerning the individual’s treatment at the state training school may file a grievance. The individual’s parent, family, or legal representative may file a grievance on behalf of the individual by submitting the grievance in writing to the superintendent.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441—103.9</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registration. </w:t>
      </w:r>
      <w:r>
        <w:rPr>
          <w:rFonts w:ascii="Times New Roman" w:hAnsi="Times New Roman"/>
          <w:b w:val="false"/>
          <w:i w:val="false"/>
          <w:color w:val="000000"/>
          <w:sz w:val="22"/>
        </w:rPr>
        <w:t xml:space="preserve">An individual who has been determined to be a sex offender as defined in Iowa Code section </w:t>
      </w:r>
      <w:hyperlink r:id="rId21">
        <w:r>
          <w:rPr>
            <w:rStyle w:val="Hyperlink"/>
            <w:rFonts w:ascii="Times New Roman" w:hAnsi="Times New Roman"/>
            <w:b w:val="false"/>
            <w:i w:val="false"/>
            <w:color w:val="000000"/>
            <w:sz w:val="22"/>
          </w:rPr>
          <w:t>692A.101</w:t>
        </w:r>
      </w:hyperlink>
      <w:r>
        <w:rPr>
          <w:rFonts w:ascii="Times New Roman" w:hAnsi="Times New Roman"/>
          <w:b w:val="false"/>
          <w:i w:val="false"/>
          <w:color w:val="000000"/>
          <w:sz w:val="22"/>
        </w:rPr>
        <w:t xml:space="preserve"> must register as a sex offender before release from the state training school unless the juvenile court finds that the individual is exempted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 an individual who is a juvenile offender has not previously registered, the superintendent or designee shall provide the individual with Form DCI-144, Notification of Registration Requirement, as required by the department of public safety in </w:t>
      </w:r>
      <w:hyperlink r:id="rId22">
        <w:r>
          <w:rPr>
            <w:rStyle w:val="Hyperlink"/>
            <w:rFonts w:ascii="Times New Roman" w:hAnsi="Times New Roman"/>
            <w:b w:val="false"/>
            <w:i w:val="false"/>
            <w:color w:val="000000"/>
            <w:sz w:val="22"/>
          </w:rPr>
          <w:t>661—subrule 83.3(1)</w:t>
        </w:r>
      </w:hyperlink>
      <w:r>
        <w:rPr>
          <w:rFonts w:ascii="Times New Roman" w:hAnsi="Times New Roman"/>
          <w:b w:val="false"/>
          <w:i w:val="false"/>
          <w:color w:val="000000"/>
          <w:sz w:val="22"/>
        </w:rPr>
        <w:t>. Failure to provide a juvenile offender with the notification form does not relieve the juvenile offender of the duty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registration. </w:t>
      </w:r>
      <w:r>
        <w:rPr>
          <w:rFonts w:ascii="Times New Roman" w:hAnsi="Times New Roman"/>
          <w:b w:val="false"/>
          <w:i w:val="false"/>
          <w:color w:val="000000"/>
          <w:sz w:val="22"/>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superintendent or designee shall provide the juvenile offender with Form DCI-145, Sex Offender Registration, as required by the department of public safety in </w:t>
      </w:r>
      <w:hyperlink r:id="rId23">
        <w:r>
          <w:rPr>
            <w:rStyle w:val="Hyperlink"/>
            <w:rFonts w:ascii="Times New Roman" w:hAnsi="Times New Roman"/>
            <w:b w:val="false"/>
            <w:i w:val="false"/>
            <w:color w:val="000000"/>
            <w:sz w:val="22"/>
          </w:rPr>
          <w:t>661—subrule 83.3(2)</w:t>
        </w:r>
      </w:hyperlink>
      <w:r>
        <w:rPr>
          <w:rFonts w:ascii="Times New Roman" w:hAnsi="Times New Roman"/>
          <w:b w:val="false"/>
          <w:i w:val="false"/>
          <w:color w:val="000000"/>
          <w:sz w:val="22"/>
        </w:rPr>
        <w:t>. Form DCI-145 must be submitted to the sheriff of each county in which the offender will be residing, employed, or attending classes as well as to the department of public safety to satisfy the registration requirements of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juvenile offender is released from the state training school, the superintendent or designee shall submit the registration form to the division of criminal investigation of the department of public safety unless, by the time of release, the juvenile court finds that the juvenile should not be required to register as allowed by Iowa Code chapter </w:t>
      </w:r>
      <w:hyperlink r:id="rId24">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the sex offender registration shall be maintained in the juvenile offender’s file at the state training school.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692A.109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441—103.10</w:t>
      </w:r>
      <w:r>
        <w:rPr>
          <w:rFonts w:ascii="Times New Roman" w:hAnsi="Times New Roman"/>
          <w:b/>
          <w:i w:val="false"/>
          <w:color w:val="000000"/>
          <w:sz w:val="22"/>
        </w:rPr>
        <w:t xml:space="preserve">(218) </w:t>
      </w:r>
      <w:r>
        <w:rPr>
          <w:rFonts w:ascii="Times New Roman" w:hAnsi="Times New Roman"/>
          <w:b/>
          <w:i w:val="false"/>
          <w:color w:val="000000"/>
          <w:sz w:val="22"/>
        </w:rPr>
        <w:t xml:space="preserve">Alleged child abuse. </w:t>
      </w:r>
      <w:r>
        <w:rPr>
          <w:rFonts w:ascii="Times New Roman" w:hAnsi="Times New Roman"/>
          <w:b w:val="false"/>
          <w:i w:val="false"/>
          <w:color w:val="000000"/>
          <w:sz w:val="22"/>
        </w:rPr>
        <w:t>The department shall arrange for the investigation of any reported case of alleged child abuse. For cases in which the alleged perpetrator is a facility employee, contractor, or volunteer, or some other department employee, the investigation shall be conducted by an agency other than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441—103.11</w:t>
      </w:r>
      <w:r>
        <w:rPr>
          <w:rFonts w:ascii="Times New Roman" w:hAnsi="Times New Roman"/>
          <w:b/>
          <w:i w:val="false"/>
          <w:color w:val="000000"/>
          <w:sz w:val="22"/>
        </w:rPr>
        <w:t xml:space="preserve">(233A) </w:t>
      </w:r>
      <w:r>
        <w:rPr>
          <w:rFonts w:ascii="Times New Roman" w:hAnsi="Times New Roman"/>
          <w:b/>
          <w:i w:val="false"/>
          <w:color w:val="000000"/>
          <w:sz w:val="22"/>
        </w:rPr>
        <w:t xml:space="preserve">Cost of care. </w:t>
      </w:r>
      <w:r>
        <w:rPr>
          <w:rFonts w:ascii="Times New Roman" w:hAnsi="Times New Roman"/>
          <w:b w:val="false"/>
          <w:i w:val="false"/>
          <w:color w:val="000000"/>
          <w:sz w:val="22"/>
        </w:rPr>
        <w:t>The state training school shall seek to recover a portion of the cost of care from an individual who has unearned income. In determining the amount to be recovered: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shall be allowed to retain a personal allowance equal to the personal allowance amount established by the Social Security Administration for the Supplemental Security Income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recovered shall not exceed the actual cost of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cost of care shall be determined using the average per diem multiplied by the total days of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superintendent may grant a one-time exception to recovery of up to $1,000 for a personal needs living expense if an individual is being discharged and has no viable means of support upon release.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233A.17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441—103.12</w:t>
      </w:r>
      <w:r>
        <w:rPr>
          <w:rFonts w:ascii="Times New Roman" w:hAnsi="Times New Roman"/>
          <w:b/>
          <w:i w:val="false"/>
          <w:color w:val="000000"/>
          <w:sz w:val="22"/>
        </w:rPr>
        <w:t xml:space="preserve">(218)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Tours. </w:t>
      </w:r>
      <w:r>
        <w:rPr>
          <w:rFonts w:ascii="Times New Roman" w:hAnsi="Times New Roman"/>
          <w:b w:val="false"/>
          <w:i w:val="false"/>
          <w:color w:val="000000"/>
          <w:sz w:val="22"/>
        </w:rPr>
        <w:t>Tours of the facility shall be subject to the prior approval of the superintendent or designee. Tours may be scheduled on weekdays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by appointment through the superintendent’s office. Approval shall be based on availability of employee time to conduct the tour and the programmatic and security needs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 xml:space="preserve">Facility space shall be for the primary use of the state training school. All public use of facility space shall require prior approval of the superintendent or designee. Approval for use shall be based on the order of requests received and on space availability after the programmatic and security needs of the facility are met.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441—103.13</w:t>
      </w:r>
      <w:r>
        <w:rPr>
          <w:rFonts w:ascii="Times New Roman" w:hAnsi="Times New Roman"/>
          <w:b/>
          <w:i w:val="false"/>
          <w:color w:val="000000"/>
          <w:sz w:val="22"/>
        </w:rPr>
        <w:t xml:space="preserve">(8,218) </w:t>
      </w:r>
      <w:r>
        <w:rPr>
          <w:rFonts w:ascii="Times New Roman" w:hAnsi="Times New Roman"/>
          <w:b/>
          <w:i w:val="false"/>
          <w:color w:val="000000"/>
          <w:sz w:val="22"/>
        </w:rPr>
        <w:t xml:space="preserve">Gifts and bequests. </w:t>
      </w:r>
      <w:r>
        <w:rPr>
          <w:rFonts w:ascii="Times New Roman" w:hAnsi="Times New Roman"/>
          <w:b w:val="false"/>
          <w:i w:val="false"/>
          <w:color w:val="000000"/>
          <w:sz w:val="22"/>
        </w:rPr>
        <w:t>Gifts or bequests of money, clothing, books, games, recreational equipment or other gifts shall be made directly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shall evaluate the gift or bequest in terms of the nature of the contribution to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be responsible for accepting the gift or bequest and reporting it to the division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monetary gifts or bequests shall be acknowledged in writing to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gifts or bequests with a value of $50 or more shall be reported to the Iowa ethics and campaign disclosure board within 20 days of receipt of the gift or bequest using the board’s Form-GB. One copy of the completed form shall be sent to the division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10/17/75, Notice 8/11/75—published 11/3/75, effective 12/8/75]</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1/4/79, Notice 11/29/78—published 1/24/79, effective 2/28/79]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9/3/86, Notice 7/16/86—published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5/9/01, Notice 2/21/01—published 5/30/01, effective 7/4/01]</w:t>
      </w:r>
    </w:p>
    <w:p>
      <w:pPr>
        <w:spacing w:before="0" w:after="0"/>
        <w:ind w:left="120"/>
        <w:jc w:val="center"/>
      </w:pPr>
      <w:r>
        <w:rPr>
          <w:rFonts w:ascii="Times New Roman" w:hAnsi="Times New Roman"/>
          <w:b w:val="false"/>
          <w:i w:val="false"/>
          <w:color w:val="000000"/>
          <w:sz w:val="21"/>
        </w:rPr>
        <w:t>[Filed ARC 9318B</w:t>
      </w:r>
      <w:r>
        <w:rPr>
          <w:rFonts w:ascii="Times New Roman" w:hAnsi="Times New Roman"/>
          <w:b w:val="false"/>
          <w:i w:val="false"/>
          <w:color w:val="000000"/>
          <w:sz w:val="21"/>
        </w:rPr>
        <w:t xml:space="preserve"> (Notice ARC 9086B, IAB 9/22/10)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6276C</w:t>
      </w:r>
      <w:r>
        <w:rPr>
          <w:rFonts w:ascii="Times New Roman" w:hAnsi="Times New Roman"/>
          <w:b w:val="false"/>
          <w:i w:val="false"/>
          <w:color w:val="000000"/>
          <w:sz w:val="21"/>
        </w:rPr>
        <w:t xml:space="preserve"> (Notice ARC 6155C, IAB 1/26/22)</w:t>
      </w:r>
      <w:r>
        <w:rPr>
          <w:rFonts w:ascii="Times New Roman" w:hAnsi="Times New Roman"/>
          <w:b w:val="false"/>
          <w:i w:val="false"/>
          <w:color w:val="000000"/>
          <w:sz w:val="21"/>
        </w:rPr>
        <w:t>, IAB 4/6/22, effective 6/1/22]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232.53.pdf" Type="http://schemas.openxmlformats.org/officeDocument/2006/relationships/hyperlink" Id="rId6"/>
    <Relationship TargetMode="External" Target="https://www.legis.iowa.gov/docs/ico/chapter/232.53.pdf" Type="http://schemas.openxmlformats.org/officeDocument/2006/relationships/hyperlink" Id="rId7"/>
    <Relationship TargetMode="External" Target="https://www.legis.iowa.gov/docs/ico/chapter/692A.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3A.1.pdf" Type="http://schemas.openxmlformats.org/officeDocument/2006/relationships/hyperlink" Id="rId10"/>
    <Relationship TargetMode="External" Target="https://www.legis.iowa.gov/docs/ico/chapter/218.4.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co/chapter/218.4.pdf" Type="http://schemas.openxmlformats.org/officeDocument/2006/relationships/hyperlink" Id="rId13"/>
    <Relationship TargetMode="External" Target="https://www.legis.iowa.gov/docs/ico/chapter/218.4.pdf" Type="http://schemas.openxmlformats.org/officeDocument/2006/relationships/hyperlink" Id="rId14"/>
    <Relationship TargetMode="External" Target="https://www.legis.iowa.gov/docs/ico/chapter/218.4.pdf" Type="http://schemas.openxmlformats.org/officeDocument/2006/relationships/hyperlink" Id="rId15"/>
    <Relationship TargetMode="External" Target="https://www.legis.iowa.gov/docs/ico/chapter/218.4.pdf" Type="http://schemas.openxmlformats.org/officeDocument/2006/relationships/hyperlink" Id="rId16"/>
    <Relationship TargetMode="External" Target="https://www.legis.iowa.gov/docs/ico/chapter/218.4.pdf" Type="http://schemas.openxmlformats.org/officeDocument/2006/relationships/hyperlink" Id="rId17"/>
    <Relationship TargetMode="External" Target="https://www.legis.iowa.gov/docs/iac/rule/441.103.7.pdf" Type="http://schemas.openxmlformats.org/officeDocument/2006/relationships/hyperlink" Id="rId18"/>
    <Relationship TargetMode="External" Target="https://www.legis.iowa.gov/docs/ico/chapter/218.4.pdf" Type="http://schemas.openxmlformats.org/officeDocument/2006/relationships/hyperlink" Id="rId19"/>
    <Relationship TargetMode="External" Target="https://www.legis.iowa.gov/docs/ico/chapter/218.4.pdf" Type="http://schemas.openxmlformats.org/officeDocument/2006/relationships/hyperlink" Id="rId20"/>
    <Relationship TargetMode="External" Target="https://www.legis.iowa.gov/docs/ico/chapter/692A.101.pdf" Type="http://schemas.openxmlformats.org/officeDocument/2006/relationships/hyperlink" Id="rId21"/>
    <Relationship TargetMode="External" Target="https://www.legis.iowa.gov/docs/iac/rule/661.83.3.pdf" Type="http://schemas.openxmlformats.org/officeDocument/2006/relationships/hyperlink" Id="rId22"/>
    <Relationship TargetMode="External" Target="https://www.legis.iowa.gov/docs/iac/rule/661.83.3.pdf" Type="http://schemas.openxmlformats.org/officeDocument/2006/relationships/hyperlink" Id="rId23"/>
    <Relationship TargetMode="External" Target="https://www.legis.iowa.gov/docs/ico/chapter/692A.pdf" Type="http://schemas.openxmlformats.org/officeDocument/2006/relationships/hyperlink" Id="rId24"/>
    <Relationship TargetMode="External" Target="https://www.legis.iowa.gov/docs/ico/chapter/692A.109.pdf" Type="http://schemas.openxmlformats.org/officeDocument/2006/relationships/hyperlink" Id="rId25"/>
    <Relationship TargetMode="External" Target="https://www.legis.iowa.gov/docs/ico/chapter/218.4.pdf" Type="http://schemas.openxmlformats.org/officeDocument/2006/relationships/hyperlink" Id="rId26"/>
    <Relationship TargetMode="External" Target="https://www.legis.iowa.gov/docs/ico/chapter/233A.17.pdf" Type="http://schemas.openxmlformats.org/officeDocument/2006/relationships/hyperlink" Id="rId27"/>
    <Relationship TargetMode="External" Target="https://www.legis.iowa.gov/docs/ico/chapter/218.4.pdf" Type="http://schemas.openxmlformats.org/officeDocument/2006/relationships/hyperlink" Id="rId28"/>
    <Relationship TargetMode="External" Target="https://www.legis.iowa.gov/docs/ico/chapter/8.7.pdf" Type="http://schemas.openxmlformats.org/officeDocument/2006/relationships/hyperlink" Id="rId29"/>
    <Relationship TargetMode="External" Target="https://www.legis.iowa.gov/docs/ico/chapter/218.4.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