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100</w:t>
      </w:r>
    </w:p>
    <w:p>
      <w:pPr>
        <w:spacing w:before="0" w:after="0"/>
        <w:ind w:left="120"/>
        <w:jc w:val="center"/>
      </w:pPr>
      <w:r>
        <w:rPr>
          <w:rFonts w:ascii="Times New Roman" w:hAnsi="Times New Roman"/>
          <w:b w:val="false"/>
          <w:i w:val="false"/>
          <w:color w:val="000000"/>
          <w:sz w:val="21"/>
        </w:rPr>
        <w:t>CHILD SUPPORT PROMOTING OPPORTUNITIES FOR PARENTS PROGRAM</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center"/>
      </w:pPr>
      <w:r>
        <w:rPr>
          <w:rFonts w:ascii="Times New Roman" w:hAnsi="Times New Roman"/>
          <w:b w:val="false"/>
          <w:i w:val="false"/>
          <w:color w:val="000000"/>
          <w:sz w:val="22"/>
        </w:rPr>
        <w:t>PREAMBLE</w:t>
      </w:r>
    </w:p>
    <w:p>
      <w:pPr>
        <w:spacing w:before="0" w:after="0"/>
        <w:ind w:left="120"/>
        <w:jc w:val="left"/>
      </w:pPr>
      <w:r>
        <w:rPr>
          <w:rFonts w:ascii="Times New Roman" w:hAnsi="Times New Roman"/>
          <w:b w:val="false"/>
          <w:i w:val="false"/>
          <w:color w:val="000000"/>
          <w:sz w:val="22"/>
        </w:rPr>
        <w:t>This chapter describes the promoting opportunities for parents program developed by the department of human services child support recovery unit (CSRU). The purpose of this program is to assist parents in overcoming the barriers which interfere with fulfilling their obligations to their children. For the purpose of these rules, promoting opportunities includes emotional and personal involvement of the parents, parenting or fatherhood classes and employment resources beyond simply meeting the parents’ financial obligations. In order to encourage participation by parents, CSRU may partner with community providers and resources and may offer various incentives for participation. These incentives may be offered through projects whose plans have been approved by the bureau chief or through projects in which CSRU participates and for which the bureau chief approves of CSRU’s offering any or all of the incentives.</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3720C</w:t>
      </w:r>
      <w:r>
        <w:rPr>
          <w:rFonts w:ascii="Times New Roman" w:hAnsi="Times New Roman"/>
          <w:b w:val="false"/>
          <w:i w:val="false"/>
          <w:color w:val="000000"/>
          <w:sz w:val="16"/>
        </w:rPr>
        <w:t>, IAB 3/28/18, effective 7/1/18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441—100.1</w:t>
      </w:r>
      <w:r>
        <w:rPr>
          <w:rFonts w:ascii="Times New Roman" w:hAnsi="Times New Roman"/>
          <w:b/>
          <w:i w:val="false"/>
          <w:color w:val="000000"/>
          <w:sz w:val="22"/>
        </w:rPr>
        <w:t xml:space="preserve">(252B)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“Assigned support arrearages” </w:t>
      </w:r>
      <w:r>
        <w:rPr>
          <w:rFonts w:ascii="Times New Roman" w:hAnsi="Times New Roman"/>
          <w:b w:val="false"/>
          <w:i w:val="false"/>
          <w:color w:val="000000"/>
          <w:sz w:val="22"/>
        </w:rPr>
        <w:t>means support arrearages for which all rights have been and shall remain assigned to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“Bureau chief” </w:t>
      </w:r>
      <w:r>
        <w:rPr>
          <w:rFonts w:ascii="Times New Roman" w:hAnsi="Times New Roman"/>
          <w:b w:val="false"/>
          <w:i w:val="false"/>
          <w:color w:val="000000"/>
          <w:sz w:val="22"/>
        </w:rPr>
        <w:t>means the chief of the bureau of collections of the department of human services or the bureau chief’s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“Child support recovery unit (CSRU)” </w:t>
      </w:r>
      <w:r>
        <w:rPr>
          <w:rFonts w:ascii="Times New Roman" w:hAnsi="Times New Roman"/>
          <w:b w:val="false"/>
          <w:i w:val="false"/>
          <w:color w:val="000000"/>
          <w:sz w:val="22"/>
        </w:rPr>
        <w:t>means any person, unit, or other agency which is charged with responsibility for providing or assisting in the provision of child support enforcement services pursuant to Title IV-D of the Social Security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“Designated provider” </w:t>
      </w:r>
      <w:r>
        <w:rPr>
          <w:rFonts w:ascii="Times New Roman" w:hAnsi="Times New Roman"/>
          <w:b w:val="false"/>
          <w:i w:val="false"/>
          <w:color w:val="000000"/>
          <w:sz w:val="22"/>
        </w:rPr>
        <w:t>means any project approved in whole or in part by CSRU and approved by the bureau chief to assist parents in overcoming the barriers which interfere with their fulfilling obligations to their children. Each project shall have a project plan approved by the bureau chief.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“Incentives” </w:t>
      </w:r>
      <w:r>
        <w:rPr>
          <w:rFonts w:ascii="Times New Roman" w:hAnsi="Times New Roman"/>
          <w:b w:val="false"/>
          <w:i w:val="false"/>
          <w:color w:val="000000"/>
          <w:sz w:val="22"/>
        </w:rPr>
        <w:t>means, but is not limited to, satisfaction of support obligations and bypass of select enforcement tools such as license sanction, administrative levy, and contempt.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“Participant” </w:t>
      </w:r>
      <w:r>
        <w:rPr>
          <w:rFonts w:ascii="Times New Roman" w:hAnsi="Times New Roman"/>
          <w:b w:val="false"/>
          <w:i w:val="false"/>
          <w:color w:val="000000"/>
          <w:sz w:val="22"/>
        </w:rPr>
        <w:t>means a person who receives services or incentives through a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“Periodic support payment” </w:t>
      </w:r>
      <w:r>
        <w:rPr>
          <w:rFonts w:ascii="Times New Roman" w:hAnsi="Times New Roman"/>
          <w:b w:val="false"/>
          <w:i w:val="false"/>
          <w:color w:val="000000"/>
          <w:sz w:val="22"/>
        </w:rPr>
        <w:t xml:space="preserve">means the total support payment due in each time period in accordance with the established support obligation. If no current support is due, the periodic support payment is equivalent to the last current support amount as would be ordered under 441—Chapter 98, Division II.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“Project plan” </w:t>
      </w:r>
      <w:r>
        <w:rPr>
          <w:rFonts w:ascii="Times New Roman" w:hAnsi="Times New Roman"/>
          <w:b w:val="false"/>
          <w:i w:val="false"/>
          <w:color w:val="000000"/>
          <w:sz w:val="22"/>
        </w:rPr>
        <w:t>means the written policies, procedures, eligibility criteria and other components, as described at subrule 100.3(2).</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3720C</w:t>
      </w:r>
      <w:r>
        <w:rPr>
          <w:rFonts w:ascii="Times New Roman" w:hAnsi="Times New Roman"/>
          <w:b w:val="false"/>
          <w:i w:val="false"/>
          <w:color w:val="000000"/>
          <w:sz w:val="16"/>
        </w:rPr>
        <w:t>, IAB 3/28/18, effective 7/1/18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441—100.2</w:t>
      </w:r>
      <w:r>
        <w:rPr>
          <w:rFonts w:ascii="Times New Roman" w:hAnsi="Times New Roman"/>
          <w:b/>
          <w:i w:val="false"/>
          <w:color w:val="000000"/>
          <w:sz w:val="22"/>
        </w:rPr>
        <w:t xml:space="preserve">(252B) </w:t>
      </w:r>
      <w:r>
        <w:rPr>
          <w:rFonts w:ascii="Times New Roman" w:hAnsi="Times New Roman"/>
          <w:b/>
          <w:i w:val="false"/>
          <w:color w:val="000000"/>
          <w:sz w:val="22"/>
        </w:rPr>
        <w:t xml:space="preserve">Incentives. </w:t>
      </w:r>
      <w:r>
        <w:rPr>
          <w:rFonts w:ascii="Times New Roman" w:hAnsi="Times New Roman"/>
          <w:b w:val="false"/>
          <w:i w:val="false"/>
          <w:color w:val="000000"/>
          <w:sz w:val="22"/>
        </w:rPr>
        <w:t>CSRU may offer incentives to participants through designated providers to encourage participants’ completion of the project. The available incentives include, but are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100.2(1)</w:t>
      </w:r>
      <w:r>
        <w:rPr>
          <w:rFonts w:ascii="Times New Roman" w:hAnsi="Times New Roman"/>
          <w:b w:val="false"/>
          <w:i w:val="false"/>
          <w:color w:val="000000"/>
          <w:sz w:val="22"/>
        </w:rPr>
        <w:t> </w:t>
      </w:r>
      <w:r>
        <w:rPr>
          <w:rFonts w:ascii="Times New Roman" w:hAnsi="Times New Roman"/>
          <w:b w:val="false"/>
          <w:i/>
          <w:color w:val="000000"/>
          <w:sz w:val="22"/>
        </w:rPr>
        <w:t xml:space="preserve">Satisfaction of the assigned support arrearages.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participant shall be granted a partial satisfaction of the assigned support arrearages which are and which will remain owed by that participant to the state after that participant’s successful completion of the project and payment of that participant’s periodic support payments. Satisfactions granted under this subrule shall apply only to those cases for which periodic support payment is credited.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satisfaction shall be an amount equal to a percentage of that participant’s support arrearages, which are and which will remain owed to the state, according to the following schedule: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one-time satisfaction after 6 consecutive months from the participant’s completion of the project. The amount of satisfaction shall be a percentage based on the amount of periodic support paid on all qualifying cases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 100 percent of the periodic support is paid, the satisfaction amount will equal 50 percent of the amount owed to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99 to 80 percent of the periodic support is paid, the satisfaction amount will equal 40 percent of the amount owed to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When 79 to 60 percent of the periodic support is paid, the satisfaction amount will equal 30 percent of the amount owed to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When 59 to 40 percent of the periodic support is paid, the satisfaction amount will equal 20 percent of the amount owed to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When 39 to 20 percent of the periodic support is paid, the satisfaction amount will equal 10 percent of the amount owed to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When 19 to 0 percent of the periodic support is paid, the satisfaction amount will equal 0 percent of the amount owed to the state.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one-time satisfaction after 12 consecutive months from the participant’s completion of the project. The amount of satisfaction shall be a percentage based on the amount of periodic support paid on all qualifying cases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 100 percent of the periodic support is paid, the satisfaction amount will equal 100 percent of the amount owed to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99 to 80 percent of the periodic support is paid, the satisfaction amount will equal 80 percent of the amount owed to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When 79 to 60 percent of the periodic support is paid, the satisfaction amount will equal 60 percent of the amount owed to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When 59 to 40 percent of the periodic support is paid, the satisfaction amount will equal 40 percent of the amount owed to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When 39 to 20 percent of the periodic support is paid, the satisfaction amount will equal 20 percent of the amount owed to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When 19 to 0 percent of the periodic support is paid, the satisfaction amount will equal 0 percent of the amount owed to the state.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participant subject to an income withholding order shall be eligible for the satisfaction in this subrule if the sole reason for ineligibility is a disparity between the schedules of the participant’s pay date and the scheduled date the payment is due.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participant shall be eligible for a satisfaction under this subrule if the participant is no longer a participant but has continued to pay the participant’s periodic support payment without interruption.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100.2(2)</w:t>
      </w:r>
      <w:r>
        <w:rPr>
          <w:rFonts w:ascii="Times New Roman" w:hAnsi="Times New Roman"/>
          <w:b w:val="false"/>
          <w:i w:val="false"/>
          <w:color w:val="000000"/>
          <w:sz w:val="22"/>
        </w:rPr>
        <w:t> </w:t>
      </w:r>
      <w:r>
        <w:rPr>
          <w:rFonts w:ascii="Times New Roman" w:hAnsi="Times New Roman"/>
          <w:b w:val="false"/>
          <w:i/>
          <w:color w:val="000000"/>
          <w:sz w:val="22"/>
        </w:rPr>
        <w:t xml:space="preserve">Enforcement processes. </w:t>
      </w:r>
      <w:r>
        <w:rPr>
          <w:rFonts w:ascii="Times New Roman" w:hAnsi="Times New Roman"/>
          <w:b w:val="false"/>
          <w:i w:val="false"/>
          <w:color w:val="000000"/>
          <w:sz w:val="22"/>
        </w:rPr>
        <w:t>CSRU may bypass select enforcement tools, including but not limited to license sanction, administrative levy, and contempt, if the participant is actively in the project.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3720C</w:t>
      </w:r>
      <w:r>
        <w:rPr>
          <w:rFonts w:ascii="Times New Roman" w:hAnsi="Times New Roman"/>
          <w:b w:val="false"/>
          <w:i w:val="false"/>
          <w:color w:val="000000"/>
          <w:sz w:val="16"/>
        </w:rPr>
        <w:t>, IAB 3/28/18, effective 7/1/18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441—100.3</w:t>
      </w:r>
      <w:r>
        <w:rPr>
          <w:rFonts w:ascii="Times New Roman" w:hAnsi="Times New Roman"/>
          <w:b/>
          <w:i w:val="false"/>
          <w:color w:val="000000"/>
          <w:sz w:val="22"/>
        </w:rPr>
        <w:t xml:space="preserve">(252B) </w:t>
      </w:r>
      <w:r>
        <w:rPr>
          <w:rFonts w:ascii="Times New Roman" w:hAnsi="Times New Roman"/>
          <w:b/>
          <w:i w:val="false"/>
          <w:color w:val="000000"/>
          <w:sz w:val="22"/>
        </w:rPr>
        <w:t xml:space="preserve">Establishment of designated providers. </w:t>
      </w:r>
      <w:r>
        <w:rPr>
          <w:rFonts w:ascii="Times New Roman" w:hAnsi="Times New Roman"/>
          <w:b w:val="false"/>
          <w:i w:val="false"/>
          <w:color w:val="000000"/>
          <w:sz w:val="22"/>
        </w:rPr>
        <w:t>CSRU may initiate a request for project plans to become designated providers.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100.3(1)</w:t>
      </w:r>
      <w:r>
        <w:rPr>
          <w:rFonts w:ascii="Times New Roman" w:hAnsi="Times New Roman"/>
          <w:b w:val="false"/>
          <w:i w:val="false"/>
          <w:color w:val="000000"/>
          <w:sz w:val="22"/>
        </w:rPr>
        <w:t> </w:t>
      </w:r>
      <w:r>
        <w:rPr>
          <w:rFonts w:ascii="Times New Roman" w:hAnsi="Times New Roman"/>
          <w:b w:val="false"/>
          <w:i/>
          <w:color w:val="000000"/>
          <w:sz w:val="22"/>
        </w:rPr>
        <w:t xml:space="preserve">Contents of a request for project plans. </w:t>
      </w:r>
      <w:r>
        <w:rPr>
          <w:rFonts w:ascii="Times New Roman" w:hAnsi="Times New Roman"/>
          <w:b w:val="false"/>
          <w:i w:val="false"/>
          <w:color w:val="000000"/>
          <w:sz w:val="22"/>
        </w:rPr>
        <w:t>The request for project plans shall contain the requirements for contents of the project plan and any other parameter for the specific project being advertised. The request shall also contain a deadline by which project plans must be submitted to the bureau chief.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100.3(2)</w:t>
      </w:r>
      <w:r>
        <w:rPr>
          <w:rFonts w:ascii="Times New Roman" w:hAnsi="Times New Roman"/>
          <w:b w:val="false"/>
          <w:i w:val="false"/>
          <w:color w:val="000000"/>
          <w:sz w:val="22"/>
        </w:rPr>
        <w:t> </w:t>
      </w:r>
      <w:r>
        <w:rPr>
          <w:rFonts w:ascii="Times New Roman" w:hAnsi="Times New Roman"/>
          <w:b w:val="false"/>
          <w:i/>
          <w:color w:val="000000"/>
          <w:sz w:val="22"/>
        </w:rPr>
        <w:t xml:space="preserve">Contents of project plans. </w:t>
      </w:r>
      <w:r>
        <w:rPr>
          <w:rFonts w:ascii="Times New Roman" w:hAnsi="Times New Roman"/>
          <w:b w:val="false"/>
          <w:i w:val="false"/>
          <w:color w:val="000000"/>
          <w:sz w:val="22"/>
        </w:rPr>
        <w:t>Each project shall have and maintain a project plan. At a minimum, the project plan shall contain or address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applicant’s experience and success at integrating collaborations and services essential to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geographic area to be served and community need for projected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projected number of participants to be served and the criteria to be used for the selection and termination of participants.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specific parenting curriculum to be used. The curriculum must be well-established, have a track record of use and be field-tested.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description of the components of the curriculum. The components of the curriculum should include personal development, responsible parenting, parenting skills, financial responsibilities, communication skills, and domestic violence prevention.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schedule, location, hours of instruction and format for administering the curriculum.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description of the organization and identification of staff responsible for delivering the curriculum. The staff should have experience in group facilitation and be certified trainers in the curriculum.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clear explanation of how the curriculum and services will be monitored and evaluated, including how the participants will be tracked and what data will be collected.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Project duration.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100.3(3)</w:t>
      </w:r>
      <w:r>
        <w:rPr>
          <w:rFonts w:ascii="Times New Roman" w:hAnsi="Times New Roman"/>
          <w:b w:val="false"/>
          <w:i w:val="false"/>
          <w:color w:val="000000"/>
          <w:sz w:val="22"/>
        </w:rPr>
        <w:t> </w:t>
      </w:r>
      <w:r>
        <w:rPr>
          <w:rFonts w:ascii="Times New Roman" w:hAnsi="Times New Roman"/>
          <w:b w:val="false"/>
          <w:i/>
          <w:color w:val="000000"/>
          <w:sz w:val="22"/>
        </w:rPr>
        <w:t xml:space="preserve">Amendments to project plan. </w:t>
      </w:r>
      <w:r>
        <w:rPr>
          <w:rFonts w:ascii="Times New Roman" w:hAnsi="Times New Roman"/>
          <w:b w:val="false"/>
          <w:i w:val="false"/>
          <w:color w:val="000000"/>
          <w:sz w:val="22"/>
        </w:rPr>
        <w:t>Projects may submit proposed amendments to their project plan in writing to the bureau chief. The bureau chief shall have the option, after review, of approving or disapproving all proposed amendments to the project plan.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3720C</w:t>
      </w:r>
      <w:r>
        <w:rPr>
          <w:rFonts w:ascii="Times New Roman" w:hAnsi="Times New Roman"/>
          <w:b w:val="false"/>
          <w:i w:val="false"/>
          <w:color w:val="000000"/>
          <w:sz w:val="16"/>
        </w:rPr>
        <w:t>, IAB 3/28/18, effective 7/1/18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441—100.4</w:t>
      </w:r>
      <w:r>
        <w:rPr>
          <w:rFonts w:ascii="Times New Roman" w:hAnsi="Times New Roman"/>
          <w:b/>
          <w:i w:val="false"/>
          <w:color w:val="000000"/>
          <w:sz w:val="22"/>
        </w:rPr>
        <w:t xml:space="preserve">(252B) </w:t>
      </w:r>
      <w:r>
        <w:rPr>
          <w:rFonts w:ascii="Times New Roman" w:hAnsi="Times New Roman"/>
          <w:b/>
          <w:i w:val="false"/>
          <w:color w:val="000000"/>
          <w:sz w:val="22"/>
        </w:rPr>
        <w:t xml:space="preserve">Selection of designated providers. </w:t>
      </w:r>
      <w:r>
        <w:rPr>
          <w:rFonts w:ascii="Times New Roman" w:hAnsi="Times New Roman"/>
          <w:b w:val="false"/>
          <w:i w:val="false"/>
          <w:color w:val="000000"/>
          <w:sz w:val="22"/>
        </w:rPr>
        <w:t>The bureau chief shall have sole authority to select designated providers. The bureau chief shall select which of the project plans received on or before the deadline date shall be granted the status of designated providers. The selection of designated providers shall be based upon the content of the project plan including, but not limited to, the following criteria:</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Applicant’s experience.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Geographic area selected and community need for the project.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Participants to be served and criteria to be used to select participants and terminate their participation.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parenting curriculum to be used.</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 description of the components of the curriculum.</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The schedule, location, hours of instruction and format for administering the curriculum.</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A description of the organization and identification of staff.</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An explanation of monitoring and evaluation.</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Project duration.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3720C</w:t>
      </w:r>
      <w:r>
        <w:rPr>
          <w:rFonts w:ascii="Times New Roman" w:hAnsi="Times New Roman"/>
          <w:b w:val="false"/>
          <w:i w:val="false"/>
          <w:color w:val="000000"/>
          <w:sz w:val="16"/>
        </w:rPr>
        <w:t>, IAB 3/28/18, effective 7/1/18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441—100.5</w:t>
      </w:r>
      <w:r>
        <w:rPr>
          <w:rFonts w:ascii="Times New Roman" w:hAnsi="Times New Roman"/>
          <w:b/>
          <w:i w:val="false"/>
          <w:color w:val="000000"/>
          <w:sz w:val="22"/>
        </w:rPr>
        <w:t xml:space="preserve">(252B) </w:t>
      </w:r>
      <w:r>
        <w:rPr>
          <w:rFonts w:ascii="Times New Roman" w:hAnsi="Times New Roman"/>
          <w:b/>
          <w:i w:val="false"/>
          <w:color w:val="000000"/>
          <w:sz w:val="22"/>
        </w:rPr>
        <w:t xml:space="preserve">Termination of designated providers. </w:t>
      </w:r>
      <w:r>
        <w:rPr>
          <w:rFonts w:ascii="Times New Roman" w:hAnsi="Times New Roman"/>
          <w:b w:val="false"/>
          <w:i w:val="false"/>
          <w:color w:val="000000"/>
          <w:sz w:val="22"/>
        </w:rPr>
        <w:t>The bureau chief may immediately terminate CSRU’s participation with a designated provider if the designated provider is not fulfilling the terms of its project plan or the designated provider is not fulfilling the terms for CSRU’s participation in the project plan.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3720C</w:t>
      </w:r>
      <w:r>
        <w:rPr>
          <w:rFonts w:ascii="Times New Roman" w:hAnsi="Times New Roman"/>
          <w:b w:val="false"/>
          <w:i w:val="false"/>
          <w:color w:val="000000"/>
          <w:sz w:val="16"/>
        </w:rPr>
        <w:t>, IAB 3/28/18, effective 7/1/18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441—100.6</w:t>
      </w:r>
      <w:r>
        <w:rPr>
          <w:rFonts w:ascii="Times New Roman" w:hAnsi="Times New Roman"/>
          <w:b/>
          <w:i w:val="false"/>
          <w:color w:val="000000"/>
          <w:sz w:val="22"/>
        </w:rPr>
        <w:t xml:space="preserve">(252B) </w:t>
      </w:r>
      <w:r>
        <w:rPr>
          <w:rFonts w:ascii="Times New Roman" w:hAnsi="Times New Roman"/>
          <w:b/>
          <w:i w:val="false"/>
          <w:color w:val="000000"/>
          <w:sz w:val="22"/>
        </w:rPr>
        <w:t xml:space="preserve">Reports and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100.6(1)</w:t>
      </w:r>
      <w:r>
        <w:rPr>
          <w:rFonts w:ascii="Times New Roman" w:hAnsi="Times New Roman"/>
          <w:b w:val="false"/>
          <w:i w:val="false"/>
          <w:color w:val="000000"/>
          <w:sz w:val="22"/>
        </w:rPr>
        <w:t> </w:t>
      </w:r>
      <w:r>
        <w:rPr>
          <w:rFonts w:ascii="Times New Roman" w:hAnsi="Times New Roman"/>
          <w:b w:val="false"/>
          <w:i/>
          <w:color w:val="000000"/>
          <w:sz w:val="22"/>
        </w:rPr>
        <w:t xml:space="preserve">Reports. </w:t>
      </w:r>
      <w:r>
        <w:rPr>
          <w:rFonts w:ascii="Times New Roman" w:hAnsi="Times New Roman"/>
          <w:b w:val="false"/>
          <w:i w:val="false"/>
          <w:color w:val="000000"/>
          <w:sz w:val="22"/>
        </w:rPr>
        <w:t>Designated providers established under these rules shall report to CSRU at least monthly, unless otherwise required by the project plan. These reports shall include, but not be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Attendance documentation with the names of participants 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Signed voluntary consent of participants seeking incentives.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Certification of participants completing the curriculum.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Other information as specified in the project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100.6(2)</w:t>
      </w:r>
      <w:r>
        <w:rPr>
          <w:rFonts w:ascii="Times New Roman" w:hAnsi="Times New Roman"/>
          <w:b w:val="false"/>
          <w:i w:val="false"/>
          <w:color w:val="000000"/>
          <w:sz w:val="22"/>
        </w:rPr>
        <w:t> </w:t>
      </w:r>
      <w:r>
        <w:rPr>
          <w:rFonts w:ascii="Times New Roman" w:hAnsi="Times New Roman"/>
          <w:b w:val="false"/>
          <w:i/>
          <w:color w:val="000000"/>
          <w:sz w:val="22"/>
        </w:rPr>
        <w:t xml:space="preserve">Records retention. </w:t>
      </w:r>
      <w:r>
        <w:rPr>
          <w:rFonts w:ascii="Times New Roman" w:hAnsi="Times New Roman"/>
          <w:b w:val="false"/>
          <w:i w:val="false"/>
          <w:color w:val="000000"/>
          <w:sz w:val="22"/>
        </w:rPr>
        <w:t>Designated providers shall retain all records as necessary to meet the requirements of these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3720C</w:t>
      </w:r>
      <w:r>
        <w:rPr>
          <w:rFonts w:ascii="Times New Roman" w:hAnsi="Times New Roman"/>
          <w:b w:val="false"/>
          <w:i w:val="false"/>
          <w:color w:val="000000"/>
          <w:sz w:val="16"/>
        </w:rPr>
        <w:t>, IAB 3/28/18, effective 7/1/18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441—100.7</w:t>
      </w:r>
      <w:r>
        <w:rPr>
          <w:rFonts w:ascii="Times New Roman" w:hAnsi="Times New Roman"/>
          <w:b/>
          <w:i w:val="false"/>
          <w:color w:val="000000"/>
          <w:sz w:val="22"/>
        </w:rPr>
        <w:t xml:space="preserve">(252B) </w:t>
      </w:r>
      <w:r>
        <w:rPr>
          <w:rFonts w:ascii="Times New Roman" w:hAnsi="Times New Roman"/>
          <w:b/>
          <w:i w:val="false"/>
          <w:color w:val="000000"/>
          <w:sz w:val="22"/>
        </w:rPr>
        <w:t xml:space="preserve">Receipt of incentives. </w:t>
      </w:r>
      <w:r>
        <w:rPr>
          <w:rFonts w:ascii="Times New Roman" w:hAnsi="Times New Roman"/>
          <w:b w:val="false"/>
          <w:i w:val="false"/>
          <w:color w:val="000000"/>
          <w:sz w:val="22"/>
        </w:rPr>
        <w:t>Participants receiving incentives under these rules may continue to receive the incentives after the termination of these rules or after they are no longer participants only under subrule 100.2(1). Subrule 100.2(1) shall apply to a participant or former participant for the full time period allowed in that subrule.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3720C</w:t>
      </w:r>
      <w:r>
        <w:rPr>
          <w:rFonts w:ascii="Times New Roman" w:hAnsi="Times New Roman"/>
          <w:b w:val="false"/>
          <w:i w:val="false"/>
          <w:color w:val="000000"/>
          <w:sz w:val="16"/>
        </w:rPr>
        <w:t>, IAB 3/28/18, effective 7/1/18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441—100.8</w:t>
      </w:r>
      <w:r>
        <w:rPr>
          <w:rFonts w:ascii="Times New Roman" w:hAnsi="Times New Roman"/>
          <w:b/>
          <w:i w:val="false"/>
          <w:color w:val="000000"/>
          <w:sz w:val="22"/>
        </w:rPr>
        <w:t xml:space="preserve">(17A) </w:t>
      </w:r>
      <w:r>
        <w:rPr>
          <w:rFonts w:ascii="Times New Roman" w:hAnsi="Times New Roman"/>
          <w:b/>
          <w:i w:val="false"/>
          <w:color w:val="000000"/>
          <w:sz w:val="22"/>
        </w:rPr>
        <w:t xml:space="preserve">Right of appeal. </w:t>
      </w:r>
      <w:r>
        <w:rPr>
          <w:rFonts w:ascii="Times New Roman" w:hAnsi="Times New Roman"/>
          <w:b w:val="false"/>
          <w:i w:val="false"/>
          <w:color w:val="000000"/>
          <w:sz w:val="22"/>
        </w:rPr>
        <w:t xml:space="preserve">Department actions under this chapter are not subject to administrative appeal under </w:t>
      </w:r>
      <w:hyperlink r:id="rId5">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6">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5417C</w:t>
      </w:r>
      <w:r>
        <w:rPr>
          <w:rFonts w:ascii="Times New Roman" w:hAnsi="Times New Roman"/>
          <w:b w:val="false"/>
          <w:i w:val="false"/>
          <w:color w:val="000000"/>
          <w:sz w:val="16"/>
        </w:rPr>
        <w:t>, IAB 2/10/21, effective 4/1/21</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7">
        <w:r>
          <w:rPr>
            <w:rStyle w:val="Hyperlink"/>
            <w:rFonts w:ascii="Times New Roman" w:hAnsi="Times New Roman"/>
            <w:b w:val="false"/>
            <w:i w:val="false"/>
            <w:color w:val="000000"/>
            <w:sz w:val="22"/>
          </w:rPr>
          <w:t>252B.3(5)</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7/13/00, Notice 5/17/00—published 8/9/00, effective 10/1/00]</w:t>
      </w:r>
    </w:p>
    <w:p>
      <w:pPr>
        <w:spacing w:before="0" w:after="0"/>
        <w:ind w:left="120"/>
        <w:jc w:val="center"/>
      </w:pPr>
      <w:r>
        <w:rPr>
          <w:rFonts w:ascii="Times New Roman" w:hAnsi="Times New Roman"/>
          <w:b w:val="false"/>
          <w:i w:val="false"/>
          <w:color w:val="000000"/>
          <w:sz w:val="21"/>
        </w:rPr>
        <w:t>[Filed Emergency 9/22/03 after Notice 7/9/03—published 10/15/03, effective 10/1/03]</w:t>
      </w:r>
    </w:p>
    <w:p>
      <w:pPr>
        <w:spacing w:before="0" w:after="0"/>
        <w:ind w:left="120"/>
        <w:jc w:val="center"/>
      </w:pPr>
      <w:r>
        <w:rPr>
          <w:rFonts w:ascii="Times New Roman" w:hAnsi="Times New Roman"/>
          <w:b w:val="false"/>
          <w:i w:val="false"/>
          <w:color w:val="000000"/>
          <w:sz w:val="21"/>
        </w:rPr>
        <w:t>[Filed ARC 3720C</w:t>
      </w:r>
      <w:r>
        <w:rPr>
          <w:rFonts w:ascii="Times New Roman" w:hAnsi="Times New Roman"/>
          <w:b w:val="false"/>
          <w:i w:val="false"/>
          <w:color w:val="000000"/>
          <w:sz w:val="21"/>
        </w:rPr>
        <w:t xml:space="preserve"> (Notice ARC 3597C, IAB 1/31/18)</w:t>
      </w:r>
      <w:r>
        <w:rPr>
          <w:rFonts w:ascii="Times New Roman" w:hAnsi="Times New Roman"/>
          <w:b w:val="false"/>
          <w:i w:val="false"/>
          <w:color w:val="000000"/>
          <w:sz w:val="21"/>
        </w:rPr>
        <w:t>, IAB 3/28/18, effective 7/1/18]</w:t>
      </w:r>
    </w:p>
    <w:p>
      <w:pPr>
        <w:spacing w:before="0" w:after="0"/>
        <w:ind w:left="120"/>
        <w:jc w:val="center"/>
      </w:pPr>
      <w:r>
        <w:rPr>
          <w:rFonts w:ascii="Times New Roman" w:hAnsi="Times New Roman"/>
          <w:b w:val="false"/>
          <w:i w:val="false"/>
          <w:color w:val="000000"/>
          <w:sz w:val="21"/>
        </w:rPr>
        <w:t>[Filed ARC 5417C</w:t>
      </w:r>
      <w:r>
        <w:rPr>
          <w:rFonts w:ascii="Times New Roman" w:hAnsi="Times New Roman"/>
          <w:b w:val="false"/>
          <w:i w:val="false"/>
          <w:color w:val="000000"/>
          <w:sz w:val="21"/>
        </w:rPr>
        <w:t xml:space="preserve"> (Notice ARC 5274C, IAB 11/18/20)</w:t>
      </w:r>
      <w:r>
        <w:rPr>
          <w:rFonts w:ascii="Times New Roman" w:hAnsi="Times New Roman"/>
          <w:b w:val="false"/>
          <w:i w:val="false"/>
          <w:color w:val="000000"/>
          <w:sz w:val="21"/>
        </w:rPr>
        <w:t>, IAB 2/10/21, effective 4/1/21]</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441.7.pdf" Type="http://schemas.openxmlformats.org/officeDocument/2006/relationships/hyperlink" Id="rId5"/>
    <Relationship TargetMode="External" Target="https://www.legis.iowa.gov/docs/ico/chapter/17A.pdf" Type="http://schemas.openxmlformats.org/officeDocument/2006/relationships/hyperlink" Id="rId6"/>
    <Relationship TargetMode="External" Target="https://www.legis.iowa.gov/docs/ico/chapter/252B.3.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