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 xml:space="preserve">FAMILY DEVELOPMENT AND SELF-SUFFICIENCY (FaDSS) PROGRAM </w:t>
      </w:r>
    </w:p>
    <w:p>
      <w:pPr>
        <w:spacing w:before="0" w:after="0"/>
        <w:ind w:left="120"/>
        <w:jc w:val="center"/>
      </w:pPr>
      <w:r>
        <w:rPr>
          <w:rFonts w:ascii="Times New Roman" w:hAnsi="Times New Roman"/>
          <w:b w:val="false"/>
          <w:i w:val="false"/>
          <w:color w:val="000000"/>
          <w:sz w:val="14"/>
        </w:rPr>
        <w:t>[Prior to 12/29/21, see 427—Chapter 15]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and structure the family development and self-sufficiency council within the department of health and human services and the family development and self-sufficiency program administered by the division. The purpose of the program is to fund, evaluate, and provide recommendations on programs that provide services to assist families at risk of instability or dependency on the family investment program to move toward self-sufficiency.</w:t>
      </w:r>
    </w:p>
    <w:p>
      <w:pPr>
        <w:spacing w:before="0" w:after="0"/>
        <w:ind w:left="120"/>
        <w:jc w:val="left"/>
      </w:pPr>
      <w:r>
        <w:rPr>
          <w:rFonts w:ascii="Times New Roman" w:hAnsi="Times New Roman"/>
          <w:b w:val="false"/>
          <w:i w:val="false"/>
          <w:color w:val="000000"/>
          <w:sz w:val="22"/>
        </w:rPr>
        <w:t>These rules establish council membership and duties, provisions for the grant proposal process and the awarding of grants, grant contract provisions, criteria and conditions for at-risk families, provisions for referral of families, grantee responsibilities, and the requirement for program evaluation.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421—24.1</w:t>
      </w:r>
      <w:r>
        <w:rPr>
          <w:rFonts w:ascii="Times New Roman" w:hAnsi="Times New Roman"/>
          <w:b/>
          <w:i w:val="false"/>
          <w:color w:val="000000"/>
          <w:sz w:val="22"/>
        </w:rPr>
        <w:t xml:space="preserve">(216A)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public or private organization that applies for a family development and self-sufficiency grant through the request for 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means the family development and self-sufficiency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community action agencies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an award approved by the council to fund a family development and self-sufficiency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 applicant whose proposal is selected by the council and who enters into a grant agreement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“FaDSS program” </w:t>
      </w:r>
      <w:r>
        <w:rPr>
          <w:rFonts w:ascii="Times New Roman" w:hAnsi="Times New Roman"/>
          <w:b w:val="false"/>
          <w:i w:val="false"/>
          <w:color w:val="000000"/>
          <w:sz w:val="22"/>
        </w:rPr>
        <w:t>means the family development and self-sufficiency (FaDSS)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“grant proposal” </w:t>
      </w:r>
      <w:r>
        <w:rPr>
          <w:rFonts w:ascii="Times New Roman" w:hAnsi="Times New Roman"/>
          <w:b w:val="false"/>
          <w:i w:val="false"/>
          <w:color w:val="000000"/>
          <w:sz w:val="22"/>
        </w:rPr>
        <w:t>means an application for grant funds to fund specific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421—24.2</w:t>
      </w:r>
      <w:r>
        <w:rPr>
          <w:rFonts w:ascii="Times New Roman" w:hAnsi="Times New Roman"/>
          <w:b/>
          <w:i w:val="false"/>
          <w:color w:val="000000"/>
          <w:sz w:val="22"/>
        </w:rPr>
        <w:t xml:space="preserve">(216A) </w:t>
      </w:r>
      <w:r>
        <w:rPr>
          <w:rFonts w:ascii="Times New Roman" w:hAnsi="Times New Roman"/>
          <w:b/>
          <w:i w:val="false"/>
          <w:color w:val="000000"/>
          <w:sz w:val="22"/>
        </w:rPr>
        <w:t xml:space="preserve">Council membership and duties. </w:t>
      </w:r>
      <w:r>
        <w:rPr>
          <w:rFonts w:ascii="Times New Roman" w:hAnsi="Times New Roman"/>
          <w:b w:val="false"/>
          <w:i w:val="false"/>
          <w:color w:val="000000"/>
          <w:sz w:val="22"/>
        </w:rPr>
        <w:t xml:space="preserve">Council membership, powers and duties are established in Iowa Code section </w:t>
      </w:r>
      <w:hyperlink r:id="rId5">
        <w:r>
          <w:rPr>
            <w:rStyle w:val="Hyperlink"/>
            <w:rFonts w:ascii="Times New Roman" w:hAnsi="Times New Roman"/>
            <w:b w:val="false"/>
            <w:i w:val="false"/>
            <w:color w:val="000000"/>
            <w:sz w:val="22"/>
          </w:rPr>
          <w:t>216A.107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421—24.3</w:t>
      </w:r>
      <w:r>
        <w:rPr>
          <w:rFonts w:ascii="Times New Roman" w:hAnsi="Times New Roman"/>
          <w:b/>
          <w:i w:val="false"/>
          <w:color w:val="000000"/>
          <w:sz w:val="22"/>
        </w:rPr>
        <w:t xml:space="preserve">(216A) </w:t>
      </w:r>
      <w:r>
        <w:rPr>
          <w:rFonts w:ascii="Times New Roman" w:hAnsi="Times New Roman"/>
          <w:b/>
          <w:i w:val="false"/>
          <w:color w:val="000000"/>
          <w:sz w:val="22"/>
        </w:rPr>
        <w:t xml:space="preserve">Council terms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Terms of office. </w:t>
      </w:r>
      <w:r>
        <w:rPr>
          <w:rFonts w:ascii="Times New Roman" w:hAnsi="Times New Roman"/>
          <w:b w:val="false"/>
          <w:i w:val="false"/>
          <w:color w:val="000000"/>
          <w:sz w:val="22"/>
        </w:rPr>
        <w:t xml:space="preserve">Unless otherwise provided by law, terms of members, election of officers, and other procedural matters shall be as determined by the council pursuant to Iowa Code section </w:t>
      </w:r>
      <w:hyperlink r:id="rId6">
        <w:r>
          <w:rPr>
            <w:rStyle w:val="Hyperlink"/>
            <w:rFonts w:ascii="Times New Roman" w:hAnsi="Times New Roman"/>
            <w:b w:val="false"/>
            <w:i w:val="false"/>
            <w:color w:val="000000"/>
            <w:sz w:val="22"/>
          </w:rPr>
          <w:t>216A.107(2)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of office for the members of the council selected by the other members of the council pursuant to Iowa Code sections </w:t>
      </w:r>
      <w:hyperlink r:id="rId7">
        <w:r>
          <w:rPr>
            <w:rStyle w:val="Hyperlink"/>
            <w:rFonts w:ascii="Times New Roman" w:hAnsi="Times New Roman"/>
            <w:b w:val="false"/>
            <w:i w:val="false"/>
            <w:color w:val="000000"/>
            <w:sz w:val="22"/>
          </w:rPr>
          <w:t>216A.107(1)</w:t>
        </w:r>
      </w:hyperlink>
      <w:r>
        <w:rPr>
          <w:rFonts w:ascii="Times New Roman" w:hAnsi="Times New Roman"/>
          <w:b w:val="false"/>
          <w:i/>
          <w:color w:val="000000"/>
          <w:sz w:val="22"/>
        </w:rPr>
        <w:t>“f”</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shall be three years. Such members whose terms expire may be reappointed and shall receive actual expenses incurred while serving in their official capacity, subject to statutory limits. The members as specified under Iowa Code sections </w:t>
      </w:r>
      <w:hyperlink r:id="rId8">
        <w:r>
          <w:rPr>
            <w:rStyle w:val="Hyperlink"/>
            <w:rFonts w:ascii="Times New Roman" w:hAnsi="Times New Roman"/>
            <w:b w:val="false"/>
            <w:i w:val="false"/>
            <w:color w:val="000000"/>
            <w:sz w:val="22"/>
          </w:rPr>
          <w:t>216A.107(1)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shall also receive per diem compensation as provided in Iowa Code section </w:t>
      </w:r>
      <w:hyperlink r:id="rId9">
        <w:r>
          <w:rPr>
            <w:rStyle w:val="Hyperlink"/>
            <w:rFonts w:ascii="Times New Roman" w:hAnsi="Times New Roman"/>
            <w:b w:val="false"/>
            <w:i w:val="false"/>
            <w:color w:val="000000"/>
            <w:sz w:val="22"/>
          </w:rPr>
          <w:t>7E.6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of office of a legislative member of the council shall end if the legislative member ceases to be a member of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Vacancies in membership of the council shall be filled in the same manner as the original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Meetings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council shall meet at least four times per year. Special meetings may be called by the chairperson or upon the written request of a majority of council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the council shall elect a chairperson, vice chairperson and such other officers as the council deems necessary to two-year terms at the first council meeting held after July 1 in even-numbered years. Officers shall assume office at the first meeting following the election. A vacancy in any elective office shall be filled by council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a majority of the members eligible to vote. When a quorum is present, a position is carried by a majority of the members, or members’ designees, eligible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minutes of council meetings shall be filed in the office of the administrator of the division, Department of Health and Human Services, Lucas State Office Building, Des Moines, Iowa 50319.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is a governmental body subject to the provisions of Iowa Code chapters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Procedural matters of the council not addressed by these rules shall be determined according to Robert’s Rules of Order, consistent with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 </w:t>
      </w:r>
      <w:hyperlink r:id="rId12">
        <w:r>
          <w:rPr>
            <w:rStyle w:val="Hyperlink"/>
            <w:rFonts w:ascii="Times New Roman" w:hAnsi="Times New Roman"/>
            <w:b w:val="false"/>
            <w:i w:val="false"/>
            <w:color w:val="000000"/>
            <w:sz w:val="22"/>
          </w:rPr>
          <w:t>69.15</w:t>
        </w:r>
      </w:hyperlink>
      <w:r>
        <w:rPr>
          <w:rFonts w:ascii="Times New Roman" w:hAnsi="Times New Roman"/>
          <w:b w:val="false"/>
          <w:i w:val="false"/>
          <w:color w:val="000000"/>
          <w:sz w:val="22"/>
        </w:rPr>
        <w:t xml:space="preserve"> regarding nonattendance and vacancies shall apply to the council except that, with respect to Iowa Code section </w:t>
      </w:r>
      <w:hyperlink r:id="rId13">
        <w:r>
          <w:rPr>
            <w:rStyle w:val="Hyperlink"/>
            <w:rFonts w:ascii="Times New Roman" w:hAnsi="Times New Roman"/>
            <w:b w:val="false"/>
            <w:i w:val="false"/>
            <w:color w:val="000000"/>
            <w:sz w:val="22"/>
          </w:rPr>
          <w:t>69.15(3)</w:t>
        </w:r>
      </w:hyperlink>
      <w:r>
        <w:rPr>
          <w:rFonts w:ascii="Times New Roman" w:hAnsi="Times New Roman"/>
          <w:b w:val="false"/>
          <w:i w:val="false"/>
          <w:color w:val="000000"/>
          <w:sz w:val="22"/>
        </w:rPr>
        <w:t xml:space="preserve">, the council chairperson shall accept or reject resignations and notify the member of such decision. Vacancies shall be filled as provided in </w:t>
      </w:r>
      <w:hyperlink r:id="rId14">
        <w:r>
          <w:rPr>
            <w:rStyle w:val="Hyperlink"/>
            <w:rFonts w:ascii="Times New Roman" w:hAnsi="Times New Roman"/>
            <w:b w:val="false"/>
            <w:i w:val="false"/>
            <w:color w:val="000000"/>
            <w:sz w:val="22"/>
          </w:rPr>
          <w:t>subrule 24.3(1)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421—24.4</w:t>
      </w:r>
      <w:r>
        <w:rPr>
          <w:rFonts w:ascii="Times New Roman" w:hAnsi="Times New Roman"/>
          <w:b/>
          <w:i w:val="false"/>
          <w:color w:val="000000"/>
          <w:sz w:val="22"/>
        </w:rPr>
        <w:t xml:space="preserve">(216A) </w:t>
      </w:r>
      <w:r>
        <w:rPr>
          <w:rFonts w:ascii="Times New Roman" w:hAnsi="Times New Roman"/>
          <w:b/>
          <w:i w:val="false"/>
          <w:color w:val="000000"/>
          <w:sz w:val="22"/>
        </w:rPr>
        <w:t xml:space="preserve">Identification of conditions and criteria for families at risk. </w:t>
      </w:r>
      <w:r>
        <w:rPr>
          <w:rFonts w:ascii="Times New Roman" w:hAnsi="Times New Roman"/>
          <w:b w:val="false"/>
          <w:i w:val="false"/>
          <w:color w:val="000000"/>
          <w:sz w:val="22"/>
        </w:rPr>
        <w:t>The council has identified the following conditions and criteria which may place families at risk of instability or of dependency on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Educational level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has less than a high school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lacks basic literacy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has never been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has multiple episodes of employment lasting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Head of household is currently unemployed.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Household 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homeless or nearly homeless.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outside the nuclear family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or more children in the household were born while the parent was on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or more children in the household are identified as having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Household includes an alcohol or substance abuser.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Household includes a past or current perpetrator of child abuse or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Household includes a member with a record of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color w:val="000000"/>
          <w:sz w:val="22"/>
        </w:rPr>
        <w:t xml:space="preserve">Background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was a teenager at birth of first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has a disability or chronic illness (mental or physical).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Head of household is a past or current victim of child abuse or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Head of household grew up in a household with alcohol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history.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grew up in a household that received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has experienced multiple episodes of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Household has been on public assistance for three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w:t>
      </w:r>
      <w:r>
        <w:rPr>
          <w:rFonts w:ascii="Times New Roman" w:hAnsi="Times New Roman"/>
          <w:b w:val="false"/>
          <w:i w:val="false"/>
          <w:color w:val="000000"/>
          <w:sz w:val="22"/>
        </w:rPr>
        <w:t>The council has also identified the following conditions that may contribute to instability or long-term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Geographic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Lack of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Lack of available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Lack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421—24.5</w:t>
      </w:r>
      <w:r>
        <w:rPr>
          <w:rFonts w:ascii="Times New Roman" w:hAnsi="Times New Roman"/>
          <w:b/>
          <w:i w:val="false"/>
          <w:color w:val="000000"/>
          <w:sz w:val="22"/>
        </w:rPr>
        <w:t xml:space="preserve">(216A) </w:t>
      </w:r>
      <w:r>
        <w:rPr>
          <w:rFonts w:ascii="Times New Roman" w:hAnsi="Times New Roman"/>
          <w:b/>
          <w:i w:val="false"/>
          <w:color w:val="000000"/>
          <w:sz w:val="22"/>
        </w:rPr>
        <w:t xml:space="preserve">Referral of families. </w:t>
      </w:r>
      <w:r>
        <w:rPr>
          <w:rFonts w:ascii="Times New Roman" w:hAnsi="Times New Roman"/>
          <w:b w:val="false"/>
          <w:i w:val="false"/>
          <w:color w:val="000000"/>
          <w:sz w:val="22"/>
        </w:rPr>
        <w:t xml:space="preserve">Families who meet one or more of the conditions and criteria identified in rule </w:t>
      </w:r>
      <w:hyperlink r:id="rId15">
        <w:r>
          <w:rPr>
            <w:rStyle w:val="Hyperlink"/>
            <w:rFonts w:ascii="Times New Roman" w:hAnsi="Times New Roman"/>
            <w:b w:val="false"/>
            <w:i w:val="false"/>
            <w:color w:val="000000"/>
            <w:sz w:val="22"/>
          </w:rPr>
          <w:t>421—24.4</w:t>
        </w:r>
      </w:hyperlink>
      <w:r>
        <w:rPr>
          <w:rFonts w:ascii="Times New Roman" w:hAnsi="Times New Roman"/>
          <w:b w:val="false"/>
          <w:i w:val="false"/>
          <w:color w:val="000000"/>
          <w:sz w:val="22"/>
        </w:rPr>
        <w:t>(216A) may be referred to the program by the department, the department of workforce development, family self-referral, or other sources. The department shall provide to the division on a monthly basis a list of families who are identified as receiving family investment program benefits and who are not currently participating in the FaDSS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421—24.6</w:t>
      </w:r>
      <w:r>
        <w:rPr>
          <w:rFonts w:ascii="Times New Roman" w:hAnsi="Times New Roman"/>
          <w:b/>
          <w:i w:val="false"/>
          <w:color w:val="000000"/>
          <w:sz w:val="22"/>
        </w:rPr>
        <w:t xml:space="preserve">(216A) </w:t>
      </w:r>
      <w:r>
        <w:rPr>
          <w:rFonts w:ascii="Times New Roman" w:hAnsi="Times New Roman"/>
          <w:b/>
          <w:i w:val="false"/>
          <w:color w:val="000000"/>
          <w:sz w:val="22"/>
        </w:rPr>
        <w:t xml:space="preserve">Funding of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The council shall develop requests for proposals for the awarding of grants, subject to availability of funds. Grants shall not exceed 36 months; however, the division shall approve grantee budgets on an annual basis, based upon and subject to available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color w:val="000000"/>
          <w:sz w:val="22"/>
        </w:rPr>
        <w:t xml:space="preserve">Grant application process. </w:t>
      </w:r>
      <w:r>
        <w:rPr>
          <w:rFonts w:ascii="Times New Roman" w:hAnsi="Times New Roman"/>
          <w:b w:val="false"/>
          <w:i w:val="false"/>
          <w:color w:val="000000"/>
          <w:sz w:val="22"/>
        </w:rPr>
        <w:t>Applications for grants shall be distributed by the division through a request for proposals. Applicants shall submit proposals to the division in accordance with instructions. Applications shall be submitted by mail or hand delivery to the Bureau of Community Services, Division of Community Action Agencies, Department of Health and Human Services, Lucas State Office Building, Des Moines, Iowa 50319, by the date and time indicated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color w:val="000000"/>
          <w:sz w:val="22"/>
        </w:rPr>
        <w:t xml:space="preserve">Grant proposals. </w:t>
      </w:r>
      <w:r>
        <w:rPr>
          <w:rFonts w:ascii="Times New Roman" w:hAnsi="Times New Roman"/>
          <w:b w:val="false"/>
          <w:i w:val="false"/>
          <w:color w:val="000000"/>
          <w:sz w:val="22"/>
        </w:rPr>
        <w:t>Grant proposals for the program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Designation of the families to be served that meet one or more criteria for being at risk of family instability or of dependency on the family investment program, and agreement to serve families who are referred by the department from the family investment program and who meet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Designation of the services to be provided for the families served, including assistance regarding job-seeking skills, family budgeting, nutrition, self-esteem, methamphetamine education, health and hygiene, parenting and child education preparation, and goal-setting. Proposals shall indicate the support groups and support systems to be developed for the families during the transition between the need for assistance and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Designation of the manner in which other needs of the families will be provided for, including but not limited to child care assistance, transportation, substance abuse treatment, support group counseling, food, clothing, and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Designation of the process for training of staff that provides services and the appropriateness of training for the purposes of meeting family development and self-sufficiency goals of the families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the support available within the community for the program and for meeting subsequent needs of families and the manner in which community resources will be made available to the families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Designation of the manner in which the program will be subject to audit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Designation of agreement provisions for tracking and reporting performance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Description of project budget. Budgets must conform to all applicable state and federal requirements regarding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Description of overall organizational capacity to successfully meet program goals, including personnel and fiscal management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24.6(4)</w:t>
      </w:r>
      <w:r>
        <w:rPr>
          <w:rFonts w:ascii="Times New Roman" w:hAnsi="Times New Roman"/>
          <w:b w:val="false"/>
          <w:i w:val="false"/>
          <w:color w:val="000000"/>
          <w:sz w:val="22"/>
        </w:rPr>
        <w:t> </w:t>
      </w:r>
      <w:r>
        <w:rPr>
          <w:rFonts w:ascii="Times New Roman" w:hAnsi="Times New Roman"/>
          <w:b w:val="false"/>
          <w:i/>
          <w:color w:val="000000"/>
          <w:sz w:val="22"/>
        </w:rPr>
        <w:t xml:space="preserve">Selection of grant proposals. </w:t>
      </w:r>
      <w:r>
        <w:rPr>
          <w:rFonts w:ascii="Times New Roman" w:hAnsi="Times New Roman"/>
          <w:b w:val="false"/>
          <w:i w:val="false"/>
          <w:color w:val="000000"/>
          <w:sz w:val="22"/>
        </w:rPr>
        <w:t xml:space="preserve">Criteria for selection of grant proposals include, but are not limited to, the elements identified in </w:t>
      </w:r>
      <w:hyperlink r:id="rId16">
        <w:r>
          <w:rPr>
            <w:rStyle w:val="Hyperlink"/>
            <w:rFonts w:ascii="Times New Roman" w:hAnsi="Times New Roman"/>
            <w:b w:val="false"/>
            <w:i w:val="false"/>
            <w:color w:val="000000"/>
            <w:sz w:val="22"/>
          </w:rPr>
          <w:t>subrule 24.6(3)</w:t>
        </w:r>
      </w:hyperlink>
      <w:r>
        <w:rPr>
          <w:rFonts w:ascii="Times New Roman" w:hAnsi="Times New Roman"/>
          <w:b w:val="false"/>
          <w:i w:val="false"/>
          <w:color w:val="000000"/>
          <w:sz w:val="22"/>
        </w:rPr>
        <w:t>. All proposals timely received shall be reviewed by the division, which shall make recommendations to the council. The council shall review the projects recommended by the division and make the final decision with respect to grant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applicants. </w:t>
      </w:r>
      <w:r>
        <w:rPr>
          <w:rFonts w:ascii="Times New Roman" w:hAnsi="Times New Roman"/>
          <w:b w:val="false"/>
          <w:i w:val="false"/>
          <w:color w:val="000000"/>
          <w:sz w:val="22"/>
        </w:rPr>
        <w:t>Applicants shall be notified of grant award decisions within 60 days after the due date for receipt of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421—24.7</w:t>
      </w:r>
      <w:r>
        <w:rPr>
          <w:rFonts w:ascii="Times New Roman" w:hAnsi="Times New Roman"/>
          <w:b/>
          <w:i w:val="false"/>
          <w:color w:val="000000"/>
          <w:sz w:val="22"/>
        </w:rPr>
        <w:t xml:space="preserve">(216A) </w:t>
      </w:r>
      <w:r>
        <w:rPr>
          <w:rFonts w:ascii="Times New Roman" w:hAnsi="Times New Roman"/>
          <w:b/>
          <w:i w:val="false"/>
          <w:color w:val="000000"/>
          <w:sz w:val="22"/>
        </w:rPr>
        <w:t xml:space="preserve">Grants not renewed and grants terminated or reduced. </w:t>
      </w:r>
      <w:r>
        <w:rPr>
          <w:rFonts w:ascii="Times New Roman" w:hAnsi="Times New Roman"/>
          <w:b w:val="false"/>
          <w:i w:val="false"/>
          <w:color w:val="000000"/>
          <w:sz w:val="22"/>
        </w:rPr>
        <w:t>If the council determines that a grantee’s project funding will not be renewed or if the council terminates or reduces a grantee’s funding, the balance of funds not renewed or terminated or reduced shall be awarded by the council to other grantees for which funding is approved, based on criteria approved by the council. In the event no previously approved grantees have been selected, the council shall fund new grantees selected by the council as a result of a competitive grant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421—24.8</w:t>
      </w:r>
      <w:r>
        <w:rPr>
          <w:rFonts w:ascii="Times New Roman" w:hAnsi="Times New Roman"/>
          <w:b/>
          <w:i w:val="false"/>
          <w:color w:val="000000"/>
          <w:sz w:val="22"/>
        </w:rPr>
        <w:t xml:space="preserve">(216A) </w:t>
      </w:r>
      <w:r>
        <w:rPr>
          <w:rFonts w:ascii="Times New Roman" w:hAnsi="Times New Roman"/>
          <w:b/>
          <w:i w:val="false"/>
          <w:color w:val="000000"/>
          <w:sz w:val="22"/>
        </w:rPr>
        <w:t xml:space="preserve">Appeal. </w:t>
      </w:r>
      <w:r>
        <w:rPr>
          <w:rFonts w:ascii="Times New Roman" w:hAnsi="Times New Roman"/>
          <w:b w:val="false"/>
          <w:i w:val="false"/>
          <w:color w:val="000000"/>
          <w:sz w:val="22"/>
        </w:rPr>
        <w:t>Applicants dissatisfied with the council’s actions regarding grant proposals for funds and grantees dissatisfied with termination of a contract may appeal the council’s decision. The letter appealing the decision shall be submitted to the division within ten business days of the date of the notice of decision. The appeal must be based on a contention that the process violated state or federal law, policy, or rule; did not provide adequate public notice or was altered without adequate public notice; or involved conflict of interest or was biased or unfair. The appeal must specify the basis for the appeal and must include supporting evidence. Within 15 working days of the receipt of the appeal, the director of the department shall issue a final decision.</w:t>
      </w:r>
    </w:p>
    <w:p>
      <w:pPr>
        <w:spacing w:before="0" w:after="0"/>
        <w:ind w:left="120"/>
        <w:jc w:val="both"/>
      </w:pPr>
      <w:r>
        <w:rPr>
          <w:rFonts w:ascii="Times New Roman" w:hAnsi="Times New Roman"/>
          <w:b w:val="false"/>
          <w:i w:val="false"/>
          <w:color w:val="000000"/>
          <w:sz w:val="22"/>
        </w:rPr>
        <w:t>In the case of a grant award, no disbursements will be made to a grantee for a period of ten calendar days following issuance of the notice of decision to award. If an appeal is filed within the ten days, all disbursements will be held pending a final decision on the appeal. All applicants will be notified if an appeal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421—24.9</w:t>
      </w:r>
      <w:r>
        <w:rPr>
          <w:rFonts w:ascii="Times New Roman" w:hAnsi="Times New Roman"/>
          <w:b/>
          <w:i w:val="false"/>
          <w:color w:val="000000"/>
          <w:sz w:val="22"/>
        </w:rPr>
        <w:t xml:space="preserve">(216A) </w:t>
      </w:r>
      <w:r>
        <w:rPr>
          <w:rFonts w:ascii="Times New Roman" w:hAnsi="Times New Roman"/>
          <w:b/>
          <w:i w:val="false"/>
          <w:color w:val="000000"/>
          <w:sz w:val="22"/>
        </w:rPr>
        <w:t xml:space="preserve">Contract with grantee. </w:t>
      </w:r>
      <w:r>
        <w:rPr>
          <w:rFonts w:ascii="Times New Roman" w:hAnsi="Times New Roman"/>
          <w:b w:val="false"/>
          <w:i w:val="false"/>
          <w:color w:val="000000"/>
          <w:sz w:val="22"/>
        </w:rPr>
        <w:t>Funds for grants approved by the council shall be awarded pursuant to a contract entered into by the division and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24.9(1)</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division shall conduct contract negotiations with the selected applicant, including negotiations regarding possible modifications to a grant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24.9(2)</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contract offer. </w:t>
      </w:r>
      <w:r>
        <w:rPr>
          <w:rFonts w:ascii="Times New Roman" w:hAnsi="Times New Roman"/>
          <w:b w:val="false"/>
          <w:i w:val="false"/>
          <w:color w:val="000000"/>
          <w:sz w:val="22"/>
        </w:rPr>
        <w:t>If the applicant and the division are unable to successfully negotiate a contract, the council may withdraw the award offer and award the grant to the applicant with the next-highest-scoring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24.9(3)</w:t>
      </w:r>
      <w:r>
        <w:rPr>
          <w:rFonts w:ascii="Times New Roman" w:hAnsi="Times New Roman"/>
          <w:b w:val="false"/>
          <w:i w:val="false"/>
          <w:color w:val="000000"/>
          <w:sz w:val="22"/>
        </w:rPr>
        <w:t> </w:t>
      </w:r>
      <w:r>
        <w:rPr>
          <w:rFonts w:ascii="Times New Roman" w:hAnsi="Times New Roman"/>
          <w:b w:val="false"/>
          <w:i/>
          <w:color w:val="000000"/>
          <w:sz w:val="22"/>
        </w:rPr>
        <w:t xml:space="preserve">Contract revisions. </w:t>
      </w:r>
      <w:r>
        <w:rPr>
          <w:rFonts w:ascii="Times New Roman" w:hAnsi="Times New Roman"/>
          <w:b w:val="false"/>
          <w:i w:val="false"/>
          <w:color w:val="000000"/>
          <w:sz w:val="22"/>
        </w:rPr>
        <w:t>The division and the grantee may negotiate revisions to the contract to allow for nonmaterial expansion or modification of services so long as such revisions do not increase the total amount of the grant. The division shall have the right to approve an amendment to the contract budget moving grant funds between budget line items if the funds represent more than 10 percent of the budget line item.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421—24.10</w:t>
      </w:r>
      <w:r>
        <w:rPr>
          <w:rFonts w:ascii="Times New Roman" w:hAnsi="Times New Roman"/>
          <w:b/>
          <w:i w:val="false"/>
          <w:color w:val="000000"/>
          <w:sz w:val="22"/>
        </w:rPr>
        <w:t xml:space="preserve">(216A) </w:t>
      </w:r>
      <w:r>
        <w:rPr>
          <w:rFonts w:ascii="Times New Roman" w:hAnsi="Times New Roman"/>
          <w:b/>
          <w:i w:val="false"/>
          <w:color w:val="000000"/>
          <w:sz w:val="22"/>
        </w:rPr>
        <w:t xml:space="preserve">Grantee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w:t>
      </w:r>
      <w:r>
        <w:rPr>
          <w:rFonts w:ascii="Times New Roman" w:hAnsi="Times New Roman"/>
          <w:b w:val="false"/>
          <w:i w:val="false"/>
          <w:color w:val="000000"/>
          <w:sz w:val="22"/>
        </w:rPr>
        <w:t> </w:t>
      </w:r>
      <w:r>
        <w:rPr>
          <w:rFonts w:ascii="Times New Roman" w:hAnsi="Times New Roman"/>
          <w:b w:val="false"/>
          <w:i/>
          <w:color w:val="000000"/>
          <w:sz w:val="22"/>
        </w:rPr>
        <w:t xml:space="preserve">Marketing. </w:t>
      </w:r>
      <w:r>
        <w:rPr>
          <w:rFonts w:ascii="Times New Roman" w:hAnsi="Times New Roman"/>
          <w:b w:val="false"/>
          <w:i w:val="false"/>
          <w:color w:val="000000"/>
          <w:sz w:val="22"/>
        </w:rPr>
        <w:t>The grantee shall be responsible for marketing its services to referral sources and to families who have been referred to the program. All marketing plans, procedures, and material used by the grantee must be approved in writing by the division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w:t>
      </w:r>
      <w:r>
        <w:rPr>
          <w:rFonts w:ascii="Times New Roman" w:hAnsi="Times New Roman"/>
          <w:b w:val="false"/>
          <w:i w:val="false"/>
          <w:color w:val="000000"/>
          <w:sz w:val="22"/>
        </w:rPr>
        <w:t> </w:t>
      </w:r>
      <w:r>
        <w:rPr>
          <w:rFonts w:ascii="Times New Roman" w:hAnsi="Times New Roman"/>
          <w:b w:val="false"/>
          <w:i/>
          <w:color w:val="000000"/>
          <w:sz w:val="22"/>
        </w:rPr>
        <w:t xml:space="preserve">Selection of families. </w:t>
      </w:r>
      <w:r>
        <w:rPr>
          <w:rFonts w:ascii="Times New Roman" w:hAnsi="Times New Roman"/>
          <w:b w:val="false"/>
          <w:i w:val="false"/>
          <w:color w:val="000000"/>
          <w:sz w:val="22"/>
        </w:rPr>
        <w:t>Grantees shall serve referred families who meet one or more of the risk criteria, subject to capacity limitations. For the families who voluntarily agree to participate in the program, the grantee is responsible to timely notify the division through the FaDSS data system of the enrollment. This notification shall identify the families in the department’s database who are receiving grantee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w:t>
      </w:r>
      <w:r>
        <w:rPr>
          <w:rFonts w:ascii="Times New Roman" w:hAnsi="Times New Roman"/>
          <w:b w:val="false"/>
          <w:i w:val="false"/>
          <w:color w:val="000000"/>
          <w:sz w:val="22"/>
        </w:rPr>
        <w:t> </w:t>
      </w:r>
      <w:r>
        <w:rPr>
          <w:rFonts w:ascii="Times New Roman" w:hAnsi="Times New Roman"/>
          <w:b w:val="false"/>
          <w:i/>
          <w:color w:val="000000"/>
          <w:sz w:val="22"/>
        </w:rPr>
        <w:t xml:space="preserve">Record management. </w:t>
      </w:r>
      <w:r>
        <w:rPr>
          <w:rFonts w:ascii="Times New Roman" w:hAnsi="Times New Roman"/>
          <w:b w:val="false"/>
          <w:i w:val="false"/>
          <w:color w:val="000000"/>
          <w:sz w:val="22"/>
        </w:rPr>
        <w:t>The grantees shall maintain records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family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Fiscal records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specific records as may be determined necessary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Grantees shall provide to the division the following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monthly funding request and expenditure report that includes, but is not limited to, grant funds expended as they relate to each line item in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report that includes a summary of the activities by the grantee during the contract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reports as deemed necessary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421—24.11</w:t>
      </w:r>
      <w:r>
        <w:rPr>
          <w:rFonts w:ascii="Times New Roman" w:hAnsi="Times New Roman"/>
          <w:b/>
          <w:i w:val="false"/>
          <w:color w:val="000000"/>
          <w:sz w:val="22"/>
        </w:rPr>
        <w:t xml:space="preserve">(216A) </w:t>
      </w:r>
      <w:r>
        <w:rPr>
          <w:rFonts w:ascii="Times New Roman" w:hAnsi="Times New Roman"/>
          <w:b/>
          <w:i w:val="false"/>
          <w:color w:val="000000"/>
          <w:sz w:val="22"/>
        </w:rPr>
        <w:t xml:space="preserve">Evaluation. </w:t>
      </w:r>
      <w:r>
        <w:rPr>
          <w:rFonts w:ascii="Times New Roman" w:hAnsi="Times New Roman"/>
          <w:b w:val="false"/>
          <w:i w:val="false"/>
          <w:color w:val="000000"/>
          <w:sz w:val="22"/>
        </w:rPr>
        <w:t>The grantee shall be evaluated by the division at least once prior to the end of each 12-month period of the contract. The purpose of the evaluation is to evaluate the progress of the grantee toward the stated goals and objectives of the project, as well as other matters relating to contractual obligations. The grantee shall receive a written report of the evaluation from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216A.107</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A.107.pdf" Type="http://schemas.openxmlformats.org/officeDocument/2006/relationships/hyperlink" Id="rId5"/>
    <Relationship TargetMode="External" Target="https://www.legis.iowa.gov/docs/ico/chapter/216A.107.pdf" Type="http://schemas.openxmlformats.org/officeDocument/2006/relationships/hyperlink" Id="rId6"/>
    <Relationship TargetMode="External" Target="https://www.legis.iowa.gov/docs/ico/chapter/216A.107.pdf" Type="http://schemas.openxmlformats.org/officeDocument/2006/relationships/hyperlink" Id="rId7"/>
    <Relationship TargetMode="External" Target="https://www.legis.iowa.gov/docs/ico/chapter/216A.107.pdf" Type="http://schemas.openxmlformats.org/officeDocument/2006/relationships/hyperlink" Id="rId8"/>
    <Relationship TargetMode="External" Target="https://www.legis.iowa.gov/docs/ico/chapter/7E.6.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69.15.pdf" Type="http://schemas.openxmlformats.org/officeDocument/2006/relationships/hyperlink" Id="rId12"/>
    <Relationship TargetMode="External" Target="https://www.legis.iowa.gov/docs/ico/chapter/69.15.pdf" Type="http://schemas.openxmlformats.org/officeDocument/2006/relationships/hyperlink" Id="rId13"/>
    <Relationship TargetMode="External" Target="https://www.legis.iowa.gov/docs/iac/rule/421.24.3.pdf" Type="http://schemas.openxmlformats.org/officeDocument/2006/relationships/hyperlink" Id="rId14"/>
    <Relationship TargetMode="External" Target="https://www.legis.iowa.gov/docs/iac/rule/421.24.4.pdf" Type="http://schemas.openxmlformats.org/officeDocument/2006/relationships/hyperlink" Id="rId15"/>
    <Relationship TargetMode="External" Target="https://www.legis.iowa.gov/docs/iac/rule/421.24.6.pdf" Type="http://schemas.openxmlformats.org/officeDocument/2006/relationships/hyperlink" Id="rId16"/>
    <Relationship TargetMode="External" Target="https://www.legis.iowa.gov/docs/ico/chapter/216A.107.pdf" Type="http://schemas.openxmlformats.org/officeDocument/2006/relationships/hyperlink" Id="rId17"/>
    <Relationship TargetMode="External" Target="https://www.legis.iowa.gov/docs/ico/chapter/17A.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