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COMPLAINT, INVESTIGATION, AND RESOLUTION PROCEDURES</w:t>
      </w:r>
    </w:p>
    <w:p>
      <w:pPr>
        <w:spacing w:before="0" w:after="0"/>
        <w:ind w:left="120"/>
        <w:jc w:val="center"/>
      </w:pPr>
      <w:r>
        <w:rPr>
          <w:rFonts w:ascii="Times New Roman" w:hAnsi="Times New Roman"/>
          <w:b w:val="false"/>
          <w:i w:val="false"/>
          <w:color w:val="000000"/>
          <w:sz w:val="14"/>
        </w:rPr>
        <w:t>[Prior to 9/9/87, Campaign Finance Disclosure[190] Ch 1]</w:t>
      </w:r>
    </w:p>
    <w:p>
      <w:pPr>
        <w:spacing w:before="0" w:after="0"/>
        <w:ind w:left="120"/>
        <w:jc w:val="center"/>
      </w:pPr>
      <w:r>
        <w:rPr>
          <w:rFonts w:ascii="Times New Roman" w:hAnsi="Times New Roman"/>
          <w:b w:val="false"/>
          <w:i w:val="false"/>
          <w:color w:val="000000"/>
          <w:sz w:val="14"/>
        </w:rPr>
        <w:t>[Prior to 3/30/94, Campaign Finance Disclosure Commission[121] Ch 1]</w:t>
      </w:r>
    </w:p>
    <w:p>
      <w:pPr>
        <w:spacing w:before="0" w:after="0"/>
        <w:ind w:left="120"/>
        <w:jc w:val="center"/>
      </w:pPr>
      <w:r>
        <w:rPr>
          <w:rFonts w:ascii="Times New Roman" w:hAnsi="Times New Roman"/>
          <w:b w:val="false"/>
          <w:i w:val="false"/>
          <w:color w:val="000000"/>
          <w:sz w:val="14"/>
        </w:rPr>
        <w:t>[Prior to 8/21/02, see 351—Ch 1]</w:t>
      </w:r>
    </w:p>
    <w:p>
      <w:pPr>
        <w:spacing w:before="0" w:after="0"/>
        <w:ind w:left="120"/>
        <w:jc w:val="center"/>
      </w:pPr>
      <w:r>
        <w:rPr>
          <w:rFonts w:ascii="Times New Roman" w:hAnsi="Times New Roman"/>
          <w:b w:val="false"/>
          <w:i w:val="false"/>
          <w:color w:val="000000"/>
          <w:sz w:val="14"/>
        </w:rPr>
        <w:t>[Prior to 9/17/03, see 351—Ch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351—9.1</w:t>
      </w:r>
      <w:r>
        <w:rPr>
          <w:rFonts w:ascii="Times New Roman" w:hAnsi="Times New Roman"/>
          <w:b/>
          <w:i w:val="false"/>
          <w:color w:val="000000"/>
          <w:sz w:val="22"/>
        </w:rPr>
        <w:t xml:space="preserve">(68B)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A complaint shall be on forms provided by the board and shall be certified under penalty of perjury. The complaint shall contain all information required by Iowa Code section </w:t>
      </w:r>
      <w:hyperlink r:id="rId5">
        <w:r>
          <w:rPr>
            <w:rStyle w:val="Hyperlink"/>
            <w:rFonts w:ascii="Times New Roman" w:hAnsi="Times New Roman"/>
            <w:b w:val="false"/>
            <w:i w:val="false"/>
            <w:color w:val="000000"/>
            <w:sz w:val="22"/>
          </w:rPr>
          <w:t>68B.32B(1)</w:t>
        </w:r>
      </w:hyperlink>
      <w:r>
        <w:rPr>
          <w:rFonts w:ascii="Times New Roman" w:hAnsi="Times New Roman"/>
          <w:b w:val="false"/>
          <w:i w:val="false"/>
          <w:color w:val="000000"/>
          <w:sz w:val="22"/>
        </w:rPr>
        <w:t>. The complainant may attach up to 20 pages of supporting documents to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Board acceptance. </w:t>
      </w:r>
      <w:r>
        <w:rPr>
          <w:rFonts w:ascii="Times New Roman" w:hAnsi="Times New Roman"/>
          <w:b w:val="false"/>
          <w:i w:val="false"/>
          <w:color w:val="000000"/>
          <w:sz w:val="22"/>
        </w:rPr>
        <w:t xml:space="preserve">A complaint shall not be deemed accepted by the board until completion of the legal review required by Iowa Code section </w:t>
      </w:r>
      <w:hyperlink r:id="rId6">
        <w:r>
          <w:rPr>
            <w:rStyle w:val="Hyperlink"/>
            <w:rFonts w:ascii="Times New Roman" w:hAnsi="Times New Roman"/>
            <w:b w:val="false"/>
            <w:i w:val="false"/>
            <w:color w:val="000000"/>
            <w:sz w:val="22"/>
          </w:rPr>
          <w:t>68B.32B(4)</w:t>
        </w:r>
      </w:hyperlink>
      <w:r>
        <w:rPr>
          <w:rFonts w:ascii="Times New Roman" w:hAnsi="Times New Roman"/>
          <w:b w:val="false"/>
          <w:i w:val="false"/>
          <w:color w:val="000000"/>
          <w:sz w:val="22"/>
        </w:rPr>
        <w:t>. If the board’s legal counsel opines that the complaint contains a legally sufficient allegation, the complaint is deemed accepted. If the board’s legal counsel opines that the complaint does not contain a legally sufficient allegation and the board, upon review, makes a determination that the complaint does contain a legally sufficient allegation, the complaint is then deemed accepted. If both the board’s legal counsel and the board opine that the complaint does not contain a legally sufficient allegation, the complaint shall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Notice to the subject of a complaint is made only when a complaint is accepted, subject to the conditions of Iowa Code section </w:t>
      </w:r>
      <w:hyperlink r:id="rId7">
        <w:r>
          <w:rPr>
            <w:rStyle w:val="Hyperlink"/>
            <w:rFonts w:ascii="Times New Roman" w:hAnsi="Times New Roman"/>
            <w:b w:val="false"/>
            <w:i w:val="false"/>
            <w:color w:val="000000"/>
            <w:sz w:val="22"/>
          </w:rPr>
          <w:t>68B.32B(3)</w:t>
        </w:r>
      </w:hyperlink>
      <w:r>
        <w:rPr>
          <w:rFonts w:ascii="Times New Roman" w:hAnsi="Times New Roman"/>
          <w:b w:val="false"/>
          <w:i w:val="false"/>
          <w:color w:val="000000"/>
          <w:sz w:val="22"/>
        </w:rPr>
        <w:t xml:space="preserve">. A complaint is a public record, subject to the conditions of Iowa Code section </w:t>
      </w:r>
      <w:hyperlink r:id="rId8">
        <w:r>
          <w:rPr>
            <w:rStyle w:val="Hyperlink"/>
            <w:rFonts w:ascii="Times New Roman" w:hAnsi="Times New Roman"/>
            <w:b w:val="false"/>
            <w:i w:val="false"/>
            <w:color w:val="000000"/>
            <w:sz w:val="22"/>
          </w:rPr>
          <w:t>68B.32B(11)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board’s review of a formal complaint for legal sufficiency is not a contested case proceeding and shall be made solely on the facts alleged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color w:val="000000"/>
          <w:sz w:val="22"/>
        </w:rPr>
        <w:t xml:space="preserve">Information provided to board. </w:t>
      </w:r>
      <w:r>
        <w:rPr>
          <w:rFonts w:ascii="Times New Roman" w:hAnsi="Times New Roman"/>
          <w:b w:val="false"/>
          <w:i w:val="false"/>
          <w:color w:val="000000"/>
          <w:sz w:val="22"/>
        </w:rPr>
        <w:t xml:space="preserve">The board may, on its own motion and without the filing of a complaint, initiate investigations into matters that the board believes may be subject to the board’s jurisdiction. As provided in Iowa Code section </w:t>
      </w:r>
      <w:hyperlink r:id="rId9">
        <w:r>
          <w:rPr>
            <w:rStyle w:val="Hyperlink"/>
            <w:rFonts w:ascii="Times New Roman" w:hAnsi="Times New Roman"/>
            <w:b w:val="false"/>
            <w:i w:val="false"/>
            <w:color w:val="000000"/>
            <w:sz w:val="22"/>
          </w:rPr>
          <w:t>68B.32B(7)</w:t>
        </w:r>
      </w:hyperlink>
      <w:r>
        <w:rPr>
          <w:rFonts w:ascii="Times New Roman" w:hAnsi="Times New Roman"/>
          <w:b w:val="false"/>
          <w:i w:val="false"/>
          <w:color w:val="000000"/>
          <w:sz w:val="22"/>
        </w:rPr>
        <w:t>, persons may provide information to the board for possible board-initiated investigation instead of filing a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1389C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351—9.2</w:t>
      </w:r>
      <w:r>
        <w:rPr>
          <w:rFonts w:ascii="Times New Roman" w:hAnsi="Times New Roman"/>
          <w:b/>
          <w:i w:val="false"/>
          <w:color w:val="000000"/>
          <w:sz w:val="22"/>
        </w:rPr>
        <w:t xml:space="preserve">(68B) </w:t>
      </w:r>
      <w:r>
        <w:rPr>
          <w:rFonts w:ascii="Times New Roman" w:hAnsi="Times New Roman"/>
          <w:b/>
          <w:i w:val="false"/>
          <w:color w:val="000000"/>
          <w:sz w:val="22"/>
        </w:rPr>
        <w:t xml:space="preserve">Investigations—board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Referral to staff. </w:t>
      </w:r>
      <w:r>
        <w:rPr>
          <w:rFonts w:ascii="Times New Roman" w:hAnsi="Times New Roman"/>
          <w:b w:val="false"/>
          <w:i w:val="false"/>
          <w:color w:val="000000"/>
          <w:sz w:val="22"/>
        </w:rPr>
        <w:t>Upon a determination that a complaint contains a legally sufficient allegation, the board shall refer the complaint to staff for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Board-initiated investigation. </w:t>
      </w:r>
      <w:r>
        <w:rPr>
          <w:rFonts w:ascii="Times New Roman" w:hAnsi="Times New Roman"/>
          <w:b w:val="false"/>
          <w:i w:val="false"/>
          <w:color w:val="000000"/>
          <w:sz w:val="22"/>
        </w:rPr>
        <w:t>On its own motion the board may refer to staff for investigation matters that the board believes may be subject to the board’s jurisdiction, including matters brought to the board’s attention by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Investigations may include the issuance and enforcement of investigative subpoenas requiring the production of books, papers, records, and other real evidence, as well as requiring the attendance and testimony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color w:val="000000"/>
          <w:sz w:val="22"/>
        </w:rPr>
        <w:t xml:space="preserve">Completion. </w:t>
      </w:r>
      <w:r>
        <w:rPr>
          <w:rFonts w:ascii="Times New Roman" w:hAnsi="Times New Roman"/>
          <w:b w:val="false"/>
          <w:i w:val="false"/>
          <w:color w:val="000000"/>
          <w:sz w:val="22"/>
        </w:rPr>
        <w:t>Upon completion of an investigation, staff shall make a report to the board and may provide a recommendation for board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color w:val="000000"/>
          <w:sz w:val="22"/>
        </w:rPr>
        <w:t xml:space="preserve">Board action. </w:t>
      </w:r>
      <w:r>
        <w:rPr>
          <w:rFonts w:ascii="Times New Roman" w:hAnsi="Times New Roman"/>
          <w:b w:val="false"/>
          <w:i w:val="false"/>
          <w:color w:val="000000"/>
          <w:sz w:val="22"/>
        </w:rPr>
        <w:t>Upon receipt and review of the staff investigative report and any recommendations,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Redirect the matter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Dismiss the matter for lack of probable cause to believe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Dismiss the matter without a determination regarding probable cause as an exercise of administrative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 determination that probable cause exists to believe a violation has occurred and direct administrative resolution of the matter as provided in subrule </w:t>
      </w:r>
      <w:hyperlink r:id="rId10">
        <w:r>
          <w:rPr>
            <w:rStyle w:val="Hyperlink"/>
            <w:rFonts w:ascii="Times New Roman" w:hAnsi="Times New Roman"/>
            <w:b w:val="false"/>
            <w:i w:val="false"/>
            <w:color w:val="000000"/>
            <w:sz w:val="22"/>
          </w:rPr>
          <w:t>9.4(2)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 determination that probable cause exists to believe a violation has occurred and direct the issuance of a statement of charges to initiate a contested case proceeding.</w:t>
      </w:r>
    </w:p>
    <w:p>
      <w:pPr>
        <w:spacing w:before="0" w:after="0"/>
        <w:ind w:left="120"/>
        <w:jc w:val="both"/>
      </w:pPr>
      <w:r>
        <w:rPr>
          <w:rFonts w:ascii="Times New Roman" w:hAnsi="Times New Roman"/>
          <w:b/>
          <w:i w:val="false"/>
          <w:color w:val="000000"/>
          <w:sz w:val="22"/>
        </w:rPr>
        <w:t>351—9.3</w:t>
      </w:r>
      <w:r>
        <w:rPr>
          <w:rFonts w:ascii="Times New Roman" w:hAnsi="Times New Roman"/>
          <w:b/>
          <w:i w:val="false"/>
          <w:color w:val="000000"/>
          <w:sz w:val="22"/>
        </w:rPr>
        <w:t xml:space="preserve">(68B) </w:t>
      </w:r>
      <w:r>
        <w:rPr>
          <w:rFonts w:ascii="Times New Roman" w:hAnsi="Times New Roman"/>
          <w:b/>
          <w:i w:val="false"/>
          <w:color w:val="000000"/>
          <w:sz w:val="22"/>
        </w:rPr>
        <w:t xml:space="preserve">Grounds for disciplinary action. </w:t>
      </w:r>
      <w:r>
        <w:rPr>
          <w:rFonts w:ascii="Times New Roman" w:hAnsi="Times New Roman"/>
          <w:b w:val="false"/>
          <w:i w:val="false"/>
          <w:color w:val="000000"/>
          <w:sz w:val="22"/>
        </w:rPr>
        <w:t xml:space="preserve">The board may impose discipline against a person subject to the board’s jurisdiction who commits a violation of Iowa Code chapter </w:t>
      </w:r>
      <w:hyperlink r:id="rId11">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Iowa Code chapter </w:t>
      </w:r>
      <w:hyperlink r:id="rId12">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Iowa Code section </w:t>
      </w:r>
      <w:hyperlink r:id="rId13">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or rules adopted by the board.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351—9.4</w:t>
      </w:r>
      <w:r>
        <w:rPr>
          <w:rFonts w:ascii="Times New Roman" w:hAnsi="Times New Roman"/>
          <w:b/>
          <w:i w:val="false"/>
          <w:color w:val="000000"/>
          <w:sz w:val="22"/>
        </w:rPr>
        <w:t xml:space="preserve">(68B) </w:t>
      </w:r>
      <w:r>
        <w:rPr>
          <w:rFonts w:ascii="Times New Roman" w:hAnsi="Times New Roman"/>
          <w:b/>
          <w:i w:val="false"/>
          <w:color w:val="000000"/>
          <w:sz w:val="22"/>
        </w:rPr>
        <w:t xml:space="preserve">Disciplinary remedies; administrative resolution of enforcement matters.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Action after hearing. </w:t>
      </w:r>
      <w:r>
        <w:rPr>
          <w:rFonts w:ascii="Times New Roman" w:hAnsi="Times New Roman"/>
          <w:b w:val="false"/>
          <w:i w:val="false"/>
          <w:color w:val="000000"/>
          <w:sz w:val="22"/>
        </w:rPr>
        <w:t xml:space="preserve">If it is determined after a contested case proceeding that a violation of statute or rule under the board’s jurisdiction has occurred, the board may impose any of the actions set out in Iowa Code section </w:t>
      </w:r>
      <w:hyperlink r:id="rId15">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 including as a remedial action the assessment of direct costs related to the hearing for printing, postage, long-distance telephone charges, witness fees, and compensation paid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resolution. </w:t>
      </w:r>
      <w:r>
        <w:rPr>
          <w:rFonts w:ascii="Times New Roman" w:hAnsi="Times New Roman"/>
          <w:b w:val="false"/>
          <w:i w:val="false"/>
          <w:color w:val="000000"/>
          <w:sz w:val="22"/>
        </w:rPr>
        <w:t xml:space="preserve">Violations may be handled by administrative resolution rather than through the full investigative and contested case proceeding process. The board may order administrative resolution by directing that the person take specified remedial action. The board may also order administrative resolution by issuing a letter of reprimand or by imposing a civil penalty as set out in subrule </w:t>
      </w:r>
      <w:hyperlink r:id="rId16">
        <w:r>
          <w:rPr>
            <w:rStyle w:val="Hyperlink"/>
            <w:rFonts w:ascii="Times New Roman" w:hAnsi="Times New Roman"/>
            <w:b w:val="false"/>
            <w:i w:val="false"/>
            <w:color w:val="000000"/>
            <w:sz w:val="22"/>
          </w:rPr>
          <w:t>9.4(7)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Response to administrative resolution. </w:t>
      </w:r>
      <w:r>
        <w:rPr>
          <w:rFonts w:ascii="Times New Roman" w:hAnsi="Times New Roman"/>
          <w:b w:val="false"/>
          <w:i w:val="false"/>
          <w:color w:val="000000"/>
          <w:sz w:val="22"/>
        </w:rPr>
        <w:t>A person subject to board discipline may accept administrative resolution, but is not required to do so. If the person accepts the administrative resolution by complying with the directed remedial action or accepting a letter of reprimand, the matter shall be closed. If the person wishes to appeal the administrative resolution, the person shall make a written request for a contested case proceeding and shall submit the request within 30 days of the date of the correspondence informing the person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color w:val="000000"/>
          <w:sz w:val="22"/>
        </w:rPr>
        <w:t xml:space="preserve">Statement of charges. </w:t>
      </w:r>
      <w:r>
        <w:rPr>
          <w:rFonts w:ascii="Times New Roman" w:hAnsi="Times New Roman"/>
          <w:b w:val="false"/>
          <w:i w:val="false"/>
          <w:color w:val="000000"/>
          <w:sz w:val="22"/>
        </w:rPr>
        <w:t xml:space="preserve">The board shall issue a statement of charges upon timely receipt of a request for a contested case proceeding to appeal the administrative resolution. The contested case shall be conducted in accordance with the provisions in </w:t>
      </w:r>
      <w:hyperlink r:id="rId17">
        <w:r>
          <w:rPr>
            <w:rStyle w:val="Hyperlink"/>
            <w:rFonts w:ascii="Times New Roman" w:hAnsi="Times New Roman"/>
            <w:b w:val="false"/>
            <w:i w:val="false"/>
            <w:color w:val="000000"/>
            <w:sz w:val="22"/>
          </w:rPr>
          <w:t>351—Chapter 11</w:t>
        </w:r>
      </w:hyperlink>
      <w:r>
        <w:rPr>
          <w:rFonts w:ascii="Times New Roman" w:hAnsi="Times New Roman"/>
          <w:b w:val="false"/>
          <w:i w:val="false"/>
          <w:color w:val="000000"/>
          <w:sz w:val="22"/>
        </w:rPr>
        <w:t>. The board’s legal counsel shall have the burden of proving the violation. Failure to challenge the administrative resolution through a request for a contested case proceeding is a failure to exhaust administrative remedies for purposes of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w:t>
      </w:r>
      <w:r>
        <w:rPr>
          <w:rFonts w:ascii="Times New Roman" w:hAnsi="Times New Roman"/>
          <w:b w:val="false"/>
          <w:i w:val="false"/>
          <w:color w:val="000000"/>
          <w:sz w:val="22"/>
        </w:rPr>
        <w:t> </w:t>
      </w:r>
      <w:r>
        <w:rPr>
          <w:rFonts w:ascii="Times New Roman" w:hAnsi="Times New Roman"/>
          <w:b w:val="false"/>
          <w:i/>
          <w:color w:val="000000"/>
          <w:sz w:val="22"/>
        </w:rPr>
        <w:t xml:space="preserve">Automatic civil penalties. </w:t>
      </w:r>
      <w:r>
        <w:rPr>
          <w:rFonts w:ascii="Times New Roman" w:hAnsi="Times New Roman"/>
          <w:b w:val="false"/>
          <w:i w:val="false"/>
          <w:color w:val="000000"/>
          <w:sz w:val="22"/>
        </w:rPr>
        <w:t>The board may administratively resolve late-filed reports by the assessment of automatic civil penalties, subject to the civil penalty waiver process, as set out by board rule. The board may retain two dollars of any civil penalty that is ultimately not waived by the board or by a court of law as return receipts covering incidental costs such as printing and postage. The remainder of the civil penalty shall be deposited in the state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w:t>
      </w:r>
      <w:r>
        <w:rPr>
          <w:rFonts w:ascii="Times New Roman" w:hAnsi="Times New Roman"/>
          <w:b w:val="false"/>
          <w:i w:val="false"/>
          <w:color w:val="000000"/>
          <w:sz w:val="22"/>
        </w:rPr>
        <w:t> </w:t>
      </w:r>
      <w:r>
        <w:rPr>
          <w:rFonts w:ascii="Times New Roman" w:hAnsi="Times New Roman"/>
          <w:b w:val="false"/>
          <w:i/>
          <w:color w:val="000000"/>
          <w:sz w:val="22"/>
        </w:rPr>
        <w:t xml:space="preserve">Admonishment. </w:t>
      </w:r>
      <w:r>
        <w:rPr>
          <w:rFonts w:ascii="Times New Roman" w:hAnsi="Times New Roman"/>
          <w:b w:val="false"/>
          <w:i w:val="false"/>
          <w:color w:val="000000"/>
          <w:sz w:val="22"/>
        </w:rPr>
        <w:t>The board may admonish any person who it believes has committed a minor violation to exercise care. An admonishment is not discipline and is not subject to a contested case proceeding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9.4(7)</w:t>
      </w:r>
      <w:r>
        <w:rPr>
          <w:rFonts w:ascii="Times New Roman" w:hAnsi="Times New Roman"/>
          <w:b w:val="false"/>
          <w:i w:val="false"/>
          <w:color w:val="000000"/>
          <w:sz w:val="22"/>
        </w:rPr>
        <w:t> </w:t>
      </w:r>
      <w:r>
        <w:rPr>
          <w:rFonts w:ascii="Times New Roman" w:hAnsi="Times New Roman"/>
          <w:b w:val="false"/>
          <w:i/>
          <w:color w:val="000000"/>
          <w:sz w:val="22"/>
        </w:rPr>
        <w:t xml:space="preserve">Civil penalty for violation. </w:t>
      </w:r>
      <w:r>
        <w:rPr>
          <w:rFonts w:ascii="Times New Roman" w:hAnsi="Times New Roman"/>
          <w:b w:val="false"/>
          <w:i w:val="false"/>
          <w:color w:val="000000"/>
          <w:sz w:val="22"/>
        </w:rPr>
        <w:t xml:space="preserve">If the board determines that probable cause exists to believe that a violation of any statute or rule under its jurisdiction has occurred, except for a late-filed disclosure report, the board may order administrative resolution of the violation by imposing a civil penalty not to exceed $500. A person assessed a civil penalty may appeal the decision by requesting within 30 days of the date of the correspondence informing the person of the board’s decision a contested case proceeding to be held under the process set out in subrule </w:t>
      </w:r>
      <w:hyperlink r:id="rId18">
        <w:r>
          <w:rPr>
            <w:rStyle w:val="Hyperlink"/>
            <w:rFonts w:ascii="Times New Roman" w:hAnsi="Times New Roman"/>
            <w:b w:val="false"/>
            <w:i w:val="false"/>
            <w:color w:val="000000"/>
            <w:sz w:val="22"/>
          </w:rPr>
          <w:t>9.4(4)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7991B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351—9.5</w:t>
      </w:r>
      <w:r>
        <w:rPr>
          <w:rFonts w:ascii="Times New Roman" w:hAnsi="Times New Roman"/>
          <w:b/>
          <w:i w:val="false"/>
          <w:color w:val="000000"/>
          <w:sz w:val="22"/>
        </w:rPr>
        <w:t xml:space="preserve">(68B) </w:t>
      </w:r>
      <w:r>
        <w:rPr>
          <w:rFonts w:ascii="Times New Roman" w:hAnsi="Times New Roman"/>
          <w:b/>
          <w:i w:val="false"/>
          <w:color w:val="000000"/>
          <w:sz w:val="22"/>
        </w:rPr>
        <w:t xml:space="preserve">Settlements. </w:t>
      </w:r>
      <w:r>
        <w:rPr>
          <w:rFonts w:ascii="Times New Roman" w:hAnsi="Times New Roman"/>
          <w:b w:val="false"/>
          <w:i w:val="false"/>
          <w:color w:val="000000"/>
          <w:sz w:val="22"/>
        </w:rPr>
        <w:t>Settlements may be negotiated during an investigation or after the commencement of a contested case proceeding. Negotiations shall be conducted between the board’s legal counsel and any person subject to the investigation or contested case proceeding. A settlement shall be in writing and is subject to approval of a majority of the board. If the board declines to approve a proposed settlement, the settlement shall be of no force or effect.</w:t>
      </w:r>
    </w:p>
    <w:p>
      <w:pPr>
        <w:spacing w:before="0" w:after="0"/>
        <w:ind w:left="120"/>
        <w:jc w:val="both"/>
      </w:pPr>
      <w:r>
        <w:rPr>
          <w:rFonts w:ascii="Times New Roman" w:hAnsi="Times New Roman"/>
          <w:b/>
          <w:i w:val="false"/>
          <w:color w:val="000000"/>
          <w:sz w:val="22"/>
        </w:rPr>
        <w:t>351—9.6</w:t>
      </w:r>
      <w:r>
        <w:rPr>
          <w:rFonts w:ascii="Times New Roman" w:hAnsi="Times New Roman"/>
          <w:b/>
          <w:i w:val="false"/>
          <w:color w:val="000000"/>
          <w:sz w:val="22"/>
        </w:rPr>
        <w:t xml:space="preserve">(68B) </w:t>
      </w:r>
      <w:r>
        <w:rPr>
          <w:rFonts w:ascii="Times New Roman" w:hAnsi="Times New Roman"/>
          <w:b/>
          <w:i w:val="false"/>
          <w:color w:val="000000"/>
          <w:sz w:val="22"/>
        </w:rPr>
        <w:t xml:space="preserve">Whistle-blower protection. </w:t>
      </w:r>
      <w:r>
        <w:rPr>
          <w:rFonts w:ascii="Times New Roman" w:hAnsi="Times New Roman"/>
          <w:b w:val="false"/>
          <w:i w:val="false"/>
          <w:color w:val="000000"/>
          <w:sz w:val="22"/>
        </w:rPr>
        <w:t xml:space="preserve">A person who discharges or discriminates against an employee because the employee filed a complaint, provided information to the board for a possible board-initiated investigation, or provided information during the course of a board investigation shall be subject to the board’s complaint process if the employee filed the complaint or provided the information in good faith. If it is determined after a contested case proceeding that a person has impermissibly discharged or discriminated against an employee, the board may impose sanctions as set out in Iowa Code section </w:t>
      </w:r>
      <w:hyperlink r:id="rId19">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purposes of this rule, “good faith” means that any statements or materials in a complaint, in information provided to the board for a possible board-initiated investigation, or provided in information during the course of a board investigation were made or provided with a reasonable belief that such statements or materials were true and accurate.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68B.32A(14)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351—9.7</w:t>
      </w:r>
      <w:r>
        <w:rPr>
          <w:rFonts w:ascii="Times New Roman" w:hAnsi="Times New Roman"/>
          <w:b/>
          <w:i w:val="false"/>
          <w:color w:val="000000"/>
          <w:sz w:val="22"/>
        </w:rPr>
        <w:t xml:space="preserve">(68B) </w:t>
      </w:r>
      <w:r>
        <w:rPr>
          <w:rFonts w:ascii="Times New Roman" w:hAnsi="Times New Roman"/>
          <w:b/>
          <w:i w:val="false"/>
          <w:color w:val="000000"/>
          <w:sz w:val="22"/>
        </w:rPr>
        <w:t xml:space="preserve">Providing false information to the board during an investigation. </w:t>
      </w:r>
      <w:r>
        <w:rPr>
          <w:rFonts w:ascii="Times New Roman" w:hAnsi="Times New Roman"/>
          <w:b w:val="false"/>
          <w:i w:val="false"/>
          <w:color w:val="000000"/>
          <w:sz w:val="22"/>
        </w:rPr>
        <w:t xml:space="preserve">A person providing false information to the board during a board investigation of a potential violation of Iowa Code chapter </w:t>
      </w:r>
      <w:hyperlink r:id="rId22">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Iowa Code section </w:t>
      </w:r>
      <w:hyperlink r:id="rId24">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or rules adopted by the board may be subject to the complaint or administrative resolution process as provided under Iowa Code chapter </w:t>
      </w:r>
      <w:hyperlink r:id="rId25">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26">
        <w:r>
          <w:rPr>
            <w:rStyle w:val="Hyperlink"/>
            <w:rFonts w:ascii="Times New Roman" w:hAnsi="Times New Roman"/>
            <w:b w:val="false"/>
            <w:i w:val="false"/>
            <w:color w:val="000000"/>
            <w:sz w:val="22"/>
          </w:rPr>
          <w:t>351—9.4</w:t>
        </w:r>
      </w:hyperlink>
      <w:r>
        <w:rPr>
          <w:rFonts w:ascii="Times New Roman" w:hAnsi="Times New Roman"/>
          <w:b w:val="false"/>
          <w:i w:val="false"/>
          <w:color w:val="000000"/>
          <w:sz w:val="22"/>
        </w:rPr>
        <w:t>(68B). For purposes of this rule, “providing false information” means the intentional providing of a false material statement of fact, falsely denying knowledge of a material fact, or providing a material statement of fact with a reckless disregard for the truth of the statement.</w:t>
      </w:r>
    </w:p>
    <w:p>
      <w:pPr>
        <w:spacing w:before="0" w:after="0"/>
        <w:ind w:left="120"/>
        <w:jc w:val="both"/>
      </w:pPr>
      <w:r>
        <w:rPr>
          <w:rFonts w:ascii="Times New Roman" w:hAnsi="Times New Roman"/>
          <w:b w:val="false"/>
          <w:i w:val="false"/>
          <w:color w:val="000000"/>
          <w:sz w:val="22"/>
        </w:rPr>
        <w:t xml:space="preserve">This rule is intended to implement 2009 Iowa Code Supplement section </w:t>
      </w:r>
      <w:hyperlink r:id="rId27">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2067, section 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9037B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July 3, 1974]</w:t>
      </w:r>
    </w:p>
    <w:p>
      <w:pPr>
        <w:spacing w:before="0" w:after="0"/>
        <w:ind w:left="120"/>
        <w:jc w:val="center"/>
      </w:pPr>
      <w:r>
        <w:rPr>
          <w:rFonts w:ascii="Times New Roman" w:hAnsi="Times New Roman"/>
          <w:b w:val="false"/>
          <w:i w:val="false"/>
          <w:color w:val="000000"/>
          <w:sz w:val="21"/>
        </w:rPr>
        <w:t>[Filed 10/28/75, Notice 8/25/75—published 11/17/75, effective 12/22/75]</w:t>
      </w:r>
    </w:p>
    <w:p>
      <w:pPr>
        <w:spacing w:before="0" w:after="0"/>
        <w:ind w:left="120"/>
        <w:jc w:val="center"/>
      </w:pPr>
      <w:r>
        <w:rPr>
          <w:rFonts w:ascii="Times New Roman" w:hAnsi="Times New Roman"/>
          <w:b w:val="false"/>
          <w:i w:val="false"/>
          <w:color w:val="000000"/>
          <w:sz w:val="21"/>
        </w:rPr>
        <w:t>[Filed emergency 2/11/76—published 3/8/76, effective 2/11/76]</w:t>
      </w:r>
    </w:p>
    <w:p>
      <w:pPr>
        <w:spacing w:before="0" w:after="0"/>
        <w:ind w:left="120"/>
        <w:jc w:val="center"/>
      </w:pPr>
      <w:r>
        <w:rPr>
          <w:rFonts w:ascii="Times New Roman" w:hAnsi="Times New Roman"/>
          <w:b w:val="false"/>
          <w:i w:val="false"/>
          <w:color w:val="000000"/>
          <w:sz w:val="21"/>
        </w:rPr>
        <w:t>[Filed emergency 4/1/76—published 4/19/76, effective 4/1/76]</w:t>
      </w:r>
    </w:p>
    <w:p>
      <w:pPr>
        <w:spacing w:before="0" w:after="0"/>
        <w:ind w:left="120"/>
        <w:jc w:val="center"/>
      </w:pPr>
      <w:r>
        <w:rPr>
          <w:rFonts w:ascii="Times New Roman" w:hAnsi="Times New Roman"/>
          <w:b w:val="false"/>
          <w:i w:val="false"/>
          <w:color w:val="000000"/>
          <w:sz w:val="21"/>
        </w:rPr>
        <w:t>[Filed 11/6/81, Notice 9/30/81—published 11/25/81, effective 1/1/82]</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4/23/92, Notice 2/19/92—published 5/13/92, effective 6/17/92]</w:t>
      </w:r>
    </w:p>
    <w:p>
      <w:pPr>
        <w:spacing w:before="0" w:after="0"/>
        <w:ind w:left="120"/>
        <w:jc w:val="center"/>
      </w:pPr>
      <w:r>
        <w:rPr>
          <w:rFonts w:ascii="Times New Roman" w:hAnsi="Times New Roman"/>
          <w:b w:val="false"/>
          <w:i w:val="false"/>
          <w:color w:val="000000"/>
          <w:sz w:val="21"/>
        </w:rPr>
        <w:t>[Filed 9/23/93, Notice 4/28/93—published 10/13/93, effective 11/17/93]</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7/29/94, Notice 5/25/94—published 8/17/94, effective 9/21/94]</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8/1/02, Notice 6/26/02—published 8/21/02, effective 9/25/02]</w:t>
      </w:r>
    </w:p>
    <w:p>
      <w:pPr>
        <w:spacing w:before="0" w:after="0"/>
        <w:ind w:left="120"/>
        <w:jc w:val="center"/>
      </w:pPr>
      <w:r>
        <w:rPr>
          <w:rFonts w:ascii="Times New Roman" w:hAnsi="Times New Roman"/>
          <w:b w:val="false"/>
          <w:i w:val="false"/>
          <w:color w:val="000000"/>
          <w:sz w:val="21"/>
        </w:rPr>
        <w:t>[Filed 8/28/03, Notice 7/23/03—published 9/17/03, effective 10/22/03]</w:t>
      </w:r>
    </w:p>
    <w:p>
      <w:pPr>
        <w:spacing w:before="0" w:after="0"/>
        <w:ind w:left="120"/>
        <w:jc w:val="center"/>
      </w:pPr>
      <w:r>
        <w:rPr>
          <w:rFonts w:ascii="Times New Roman" w:hAnsi="Times New Roman"/>
          <w:b w:val="false"/>
          <w:i w:val="false"/>
          <w:color w:val="000000"/>
          <w:sz w:val="21"/>
        </w:rPr>
        <w:t>[Filed 1/28/05, Notice 11/10/04—published 2/16/05, effective 3/23/05]</w:t>
      </w:r>
    </w:p>
    <w:p>
      <w:pPr>
        <w:spacing w:before="0" w:after="0"/>
        <w:ind w:left="120"/>
        <w:jc w:val="center"/>
      </w:pPr>
      <w:r>
        <w:rPr>
          <w:rFonts w:ascii="Times New Roman" w:hAnsi="Times New Roman"/>
          <w:b w:val="false"/>
          <w:i w:val="false"/>
          <w:color w:val="000000"/>
          <w:sz w:val="21"/>
        </w:rPr>
        <w:t>[Filed 9/25/06, Notice 8/2/06—published 10/25/06, effective 11/29/06]</w:t>
      </w:r>
    </w:p>
    <w:p>
      <w:pPr>
        <w:spacing w:before="0" w:after="0"/>
        <w:ind w:left="120"/>
        <w:jc w:val="center"/>
      </w:pPr>
      <w:r>
        <w:rPr>
          <w:rFonts w:ascii="Times New Roman" w:hAnsi="Times New Roman"/>
          <w:b w:val="false"/>
          <w:i w:val="false"/>
          <w:color w:val="000000"/>
          <w:sz w:val="21"/>
        </w:rPr>
        <w:t>[Filed 4/2/08, Notice 2/13/08—published 4/23/08, effective 5/28/08]</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7993B</w:t>
      </w:r>
      <w:r>
        <w:rPr>
          <w:rFonts w:ascii="Times New Roman" w:hAnsi="Times New Roman"/>
          <w:b w:val="false"/>
          <w:i w:val="false"/>
          <w:color w:val="000000"/>
          <w:sz w:val="21"/>
        </w:rPr>
        <w:t xml:space="preserve"> (Notice ARC 7808B,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7991B</w:t>
      </w:r>
      <w:r>
        <w:rPr>
          <w:rFonts w:ascii="Times New Roman" w:hAnsi="Times New Roman"/>
          <w:b w:val="false"/>
          <w:i w:val="false"/>
          <w:color w:val="000000"/>
          <w:sz w:val="21"/>
        </w:rPr>
        <w:t xml:space="preserve"> (Notice ARC 7810B,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9037B</w:t>
      </w:r>
      <w:r>
        <w:rPr>
          <w:rFonts w:ascii="Times New Roman" w:hAnsi="Times New Roman"/>
          <w:b w:val="false"/>
          <w:i w:val="false"/>
          <w:color w:val="000000"/>
          <w:sz w:val="21"/>
        </w:rPr>
        <w:t xml:space="preserve"> (Notice ARC 8803B,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1389C</w:t>
      </w:r>
      <w:r>
        <w:rPr>
          <w:rFonts w:ascii="Times New Roman" w:hAnsi="Times New Roman"/>
          <w:b w:val="false"/>
          <w:i w:val="false"/>
          <w:color w:val="000000"/>
          <w:sz w:val="21"/>
        </w:rPr>
        <w:t xml:space="preserve"> (Notice ARC 1019C, IAB 9/18/13)</w:t>
      </w:r>
      <w:r>
        <w:rPr>
          <w:rFonts w:ascii="Times New Roman" w:hAnsi="Times New Roman"/>
          <w:b w:val="false"/>
          <w:i w:val="false"/>
          <w:color w:val="000000"/>
          <w:sz w:val="21"/>
        </w:rPr>
        <w:t>, IAB 4/2/14, effective 5/7/14]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B.32B.pdf" Type="http://schemas.openxmlformats.org/officeDocument/2006/relationships/hyperlink" Id="rId5"/>
    <Relationship TargetMode="External" Target="https://www.legis.iowa.gov/docs/ico/chapter/68B.32B.pdf" Type="http://schemas.openxmlformats.org/officeDocument/2006/relationships/hyperlink" Id="rId6"/>
    <Relationship TargetMode="External" Target="https://www.legis.iowa.gov/docs/ico/chapter/68B.32B.pdf" Type="http://schemas.openxmlformats.org/officeDocument/2006/relationships/hyperlink" Id="rId7"/>
    <Relationship TargetMode="External" Target="https://www.legis.iowa.gov/docs/ico/chapter/68B.32B.pdf" Type="http://schemas.openxmlformats.org/officeDocument/2006/relationships/hyperlink" Id="rId8"/>
    <Relationship TargetMode="External" Target="https://www.legis.iowa.gov/docs/ico/chapter/68B.32B.pdf" Type="http://schemas.openxmlformats.org/officeDocument/2006/relationships/hyperlink" Id="rId9"/>
    <Relationship TargetMode="External" Target="https://www.legis.iowa.gov/docs/iac/rule/351.9.4.pdf" Type="http://schemas.openxmlformats.org/officeDocument/2006/relationships/hyperlink" Id="rId10"/>
    <Relationship TargetMode="External" Target="https://www.legis.iowa.gov/docs/ico/chapter/68A.pdf" Type="http://schemas.openxmlformats.org/officeDocument/2006/relationships/hyperlink" Id="rId11"/>
    <Relationship TargetMode="External" Target="https://www.legis.iowa.gov/docs/ico/chapter/68B.pdf" Type="http://schemas.openxmlformats.org/officeDocument/2006/relationships/hyperlink" Id="rId12"/>
    <Relationship TargetMode="External" Target="https://www.legis.iowa.gov/docs/ico/chapter/8.7.pdf" Type="http://schemas.openxmlformats.org/officeDocument/2006/relationships/hyperlink" Id="rId13"/>
    <Relationship TargetMode="External" Target="https://www.legis.iowa.gov/docs/ico/chapter/68B.32A.pdf" Type="http://schemas.openxmlformats.org/officeDocument/2006/relationships/hyperlink" Id="rId14"/>
    <Relationship TargetMode="External" Target="https://www.legis.iowa.gov/docs/ico/chapter/68B.32D.pdf" Type="http://schemas.openxmlformats.org/officeDocument/2006/relationships/hyperlink" Id="rId15"/>
    <Relationship TargetMode="External" Target="https://www.legis.iowa.gov/docs/iac/rule/351.9.4.pdf" Type="http://schemas.openxmlformats.org/officeDocument/2006/relationships/hyperlink" Id="rId16"/>
    <Relationship TargetMode="External" Target="https://www.legis.iowa.gov/docs/iac/chapter/351.11.pdf" Type="http://schemas.openxmlformats.org/officeDocument/2006/relationships/hyperlink" Id="rId17"/>
    <Relationship TargetMode="External" Target="https://www.legis.iowa.gov/docs/iac/rule/351.9.4.pdf" Type="http://schemas.openxmlformats.org/officeDocument/2006/relationships/hyperlink" Id="rId18"/>
    <Relationship TargetMode="External" Target="https://www.legis.iowa.gov/docs/ico/chapter/68B.32D.pdf" Type="http://schemas.openxmlformats.org/officeDocument/2006/relationships/hyperlink" Id="rId19"/>
    <Relationship TargetMode="External" Target="https://www.legis.iowa.gov/docs/ico/chapter/68B.32A.pdf" Type="http://schemas.openxmlformats.org/officeDocument/2006/relationships/hyperlink" Id="rId20"/>
    <Relationship TargetMode="External" Target="https://www.legis.iowa.gov/docs/ico/chapter/68B.32B.pdf" Type="http://schemas.openxmlformats.org/officeDocument/2006/relationships/hyperlink" Id="rId21"/>
    <Relationship TargetMode="External" Target="https://www.legis.iowa.gov/docs/ico/chapter/68A.pdf" Type="http://schemas.openxmlformats.org/officeDocument/2006/relationships/hyperlink" Id="rId22"/>
    <Relationship TargetMode="External" Target="https://www.legis.iowa.gov/docs/ico/chapter/68B.pdf" Type="http://schemas.openxmlformats.org/officeDocument/2006/relationships/hyperlink" Id="rId23"/>
    <Relationship TargetMode="External" Target="https://www.legis.iowa.gov/docs/ico/chapter/8.7.pdf" Type="http://schemas.openxmlformats.org/officeDocument/2006/relationships/hyperlink" Id="rId24"/>
    <Relationship TargetMode="External" Target="https://www.legis.iowa.gov/docs/ico/chapter/68B.pdf" Type="http://schemas.openxmlformats.org/officeDocument/2006/relationships/hyperlink" Id="rId25"/>
    <Relationship TargetMode="External" Target="https://www.legis.iowa.gov/docs/iac/rule/351.9.4.pdf" Type="http://schemas.openxmlformats.org/officeDocument/2006/relationships/hyperlink" Id="rId26"/>
    <Relationship TargetMode="External" Target="https://www.legis.iowa.gov/docs/ico/chapter/68B.32A.pdf" Type="http://schemas.openxmlformats.org/officeDocument/2006/relationships/hyperlink" Id="rId27"/>
    <Relationship TargetMode="External" Target="https://www.legis.iowa.gov/docs/ico/chapter/68B.32B.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