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w:t>
      </w:r>
    </w:p>
    <w:p>
      <w:pPr>
        <w:spacing w:before="0" w:after="0"/>
        <w:ind w:left="120"/>
        <w:jc w:val="center"/>
      </w:pPr>
      <w:r>
        <w:rPr>
          <w:rFonts w:ascii="Times New Roman" w:hAnsi="Times New Roman"/>
          <w:b w:val="false"/>
          <w:i w:val="false"/>
          <w:color w:val="000000"/>
          <w:sz w:val="21"/>
        </w:rPr>
        <w:t>EXECUTIVE BRANCH ETHICS</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pBdr>
          <w:top w:space="10"/>
        </w:pBdr>
        <w:spacing w:before="0" w:after="0"/>
        <w:ind w:left="120"/>
        <w:jc w:val="center"/>
      </w:pPr>
      <w:r>
        <w:rPr>
          <w:rFonts w:ascii="Times New Roman" w:hAnsi="Times New Roman"/>
          <w:b w:val="false"/>
          <w:i w:val="false"/>
          <w:color w:val="000000"/>
          <w:sz w:val="16"/>
        </w:rPr>
        <w:t>DIVISION I</w:t>
      </w:r>
    </w:p>
    <w:p>
      <w:pPr>
        <w:pBdr>
          <w:bottom w:space="10"/>
        </w:pBdr>
        <w:spacing w:before="0" w:after="0"/>
        <w:ind w:left="120"/>
        <w:jc w:val="center"/>
      </w:pPr>
      <w:r>
        <w:rPr>
          <w:rFonts w:ascii="Times New Roman" w:hAnsi="Times New Roman"/>
          <w:b w:val="false"/>
          <w:i w:val="false"/>
          <w:color w:val="000000"/>
          <w:sz w:val="16"/>
        </w:rPr>
        <w:t>GENERAL PROVISIONS</w:t>
      </w:r>
    </w:p>
    <w:p>
      <w:pPr>
        <w:spacing w:before="0" w:after="0"/>
        <w:ind w:left="120"/>
        <w:jc w:val="both"/>
      </w:pPr>
      <w:r>
        <w:rPr>
          <w:rFonts w:ascii="Times New Roman" w:hAnsi="Times New Roman"/>
          <w:b/>
          <w:i w:val="false"/>
          <w:color w:val="000000"/>
          <w:sz w:val="22"/>
        </w:rPr>
        <w:t>351—6.1</w:t>
      </w:r>
      <w:r>
        <w:rPr>
          <w:rFonts w:ascii="Times New Roman" w:hAnsi="Times New Roman"/>
          <w:b/>
          <w:i w:val="false"/>
          <w:color w:val="000000"/>
          <w:sz w:val="22"/>
        </w:rPr>
        <w:t xml:space="preserve">(68B) </w:t>
      </w:r>
      <w:r>
        <w:rPr>
          <w:rFonts w:ascii="Times New Roman" w:hAnsi="Times New Roman"/>
          <w:b/>
          <w:i w:val="false"/>
          <w:color w:val="000000"/>
          <w:sz w:val="22"/>
        </w:rPr>
        <w:t xml:space="preserve">Scope of chapter. </w:t>
      </w:r>
      <w:r>
        <w:rPr>
          <w:rFonts w:ascii="Times New Roman" w:hAnsi="Times New Roman"/>
          <w:b w:val="false"/>
          <w:i w:val="false"/>
          <w:color w:val="000000"/>
          <w:sz w:val="22"/>
        </w:rPr>
        <w:t xml:space="preserve">Pursuant to Iowa Code section </w:t>
      </w:r>
      <w:hyperlink r:id="rId5">
        <w:r>
          <w:rPr>
            <w:rStyle w:val="Hyperlink"/>
            <w:rFonts w:ascii="Times New Roman" w:hAnsi="Times New Roman"/>
            <w:b w:val="false"/>
            <w:i w:val="false"/>
            <w:color w:val="000000"/>
            <w:sz w:val="22"/>
          </w:rPr>
          <w:t>68B.32(1)</w:t>
        </w:r>
      </w:hyperlink>
      <w:r>
        <w:rPr>
          <w:rFonts w:ascii="Times New Roman" w:hAnsi="Times New Roman"/>
          <w:b w:val="false"/>
          <w:i w:val="false"/>
          <w:color w:val="000000"/>
          <w:sz w:val="22"/>
        </w:rPr>
        <w:t xml:space="preserve">, the Iowa ethics and campaign disclosure board is to set standards for, investigate complaints relating to, and monitor the ethics of officials, employees, and candidates for office in the executive branch of state government. Pursuant to Iowa Code section </w:t>
      </w:r>
      <w:hyperlink r:id="rId6">
        <w:r>
          <w:rPr>
            <w:rStyle w:val="Hyperlink"/>
            <w:rFonts w:ascii="Times New Roman" w:hAnsi="Times New Roman"/>
            <w:b w:val="false"/>
            <w:i w:val="false"/>
            <w:color w:val="000000"/>
            <w:sz w:val="22"/>
          </w:rPr>
          <w:t>68B.32A(13)</w:t>
        </w:r>
      </w:hyperlink>
      <w:r>
        <w:rPr>
          <w:rFonts w:ascii="Times New Roman" w:hAnsi="Times New Roman"/>
          <w:b w:val="false"/>
          <w:i w:val="false"/>
          <w:color w:val="000000"/>
          <w:sz w:val="22"/>
        </w:rPr>
        <w:t>, the board is required to establish rules relating to ethical conduct for the executive branch of state government. This chapter sets the standards and establishes the rules for the ethical conduct of persons in the executive branch of state government.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
        <w:r>
          <w:rPr>
            <w:rStyle w:val="Hyperlink"/>
            <w:rFonts w:ascii="Times New Roman" w:hAnsi="Times New Roman"/>
            <w:b w:val="false"/>
            <w:i w:val="false"/>
            <w:color w:val="000000"/>
            <w:sz w:val="22"/>
          </w:rPr>
          <w:t>68B.32(1)</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68B.32A(13)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4/8/09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351—6.2</w:t>
      </w:r>
      <w:r>
        <w:rPr>
          <w:rFonts w:ascii="Times New Roman" w:hAnsi="Times New Roman"/>
          <w:b/>
          <w:i w:val="false"/>
          <w:color w:val="000000"/>
          <w:sz w:val="22"/>
        </w:rPr>
        <w:t xml:space="preserve">(68B)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this chapter,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“Agency of state government”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“state agency” </w:t>
      </w:r>
      <w:r>
        <w:rPr>
          <w:rFonts w:ascii="Times New Roman" w:hAnsi="Times New Roman"/>
          <w:b w:val="false"/>
          <w:i w:val="false"/>
          <w:color w:val="000000"/>
          <w:sz w:val="22"/>
        </w:rPr>
        <w:t>means any authority, board, bureau, commission, community college, department, division, office of a statewide elected official, or regents university.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Iowa ethics and campaign disclosure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“Candidate for statewide office” </w:t>
      </w:r>
      <w:r>
        <w:rPr>
          <w:rFonts w:ascii="Times New Roman" w:hAnsi="Times New Roman"/>
          <w:b w:val="false"/>
          <w:i w:val="false"/>
          <w:color w:val="000000"/>
          <w:sz w:val="22"/>
        </w:rPr>
        <w:t>means a candidate for governor, lieutenant governor, secretary of state, auditor of state, treasurer of state, secretary of agriculture, or attorney general.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“Employee” </w:t>
      </w:r>
      <w:r>
        <w:rPr>
          <w:rFonts w:ascii="Times New Roman" w:hAnsi="Times New Roman"/>
          <w:b w:val="false"/>
          <w:i w:val="false"/>
          <w:color w:val="000000"/>
          <w:sz w:val="22"/>
        </w:rPr>
        <w:t>means an individual who is a paid employee of any agency of state government. “Employee” includes an individual employed in an interim or acting capacity. “Employee” does not include an official or an independent contractor.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“Executive branch of state government” </w:t>
      </w:r>
      <w:r>
        <w:rPr>
          <w:rFonts w:ascii="Times New Roman" w:hAnsi="Times New Roman"/>
          <w:b w:val="false"/>
          <w:i w:val="false"/>
          <w:color w:val="000000"/>
          <w:sz w:val="22"/>
        </w:rPr>
        <w:t>means an agency of state government.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“Official” </w:t>
      </w:r>
      <w:r>
        <w:rPr>
          <w:rFonts w:ascii="Times New Roman" w:hAnsi="Times New Roman"/>
          <w:b w:val="false"/>
          <w:i w:val="false"/>
          <w:color w:val="000000"/>
          <w:sz w:val="22"/>
        </w:rPr>
        <w:t xml:space="preserve">means a statewide elected official, an executive or administrative head or heads of a state agency, a deputy executive or administrative head or heads of a state agency, a member of a board or commission as defined under Iowa Code section </w:t>
      </w:r>
      <w:hyperlink r:id="rId9">
        <w:r>
          <w:rPr>
            <w:rStyle w:val="Hyperlink"/>
            <w:rFonts w:ascii="Times New Roman" w:hAnsi="Times New Roman"/>
            <w:b w:val="false"/>
            <w:i w:val="false"/>
            <w:color w:val="000000"/>
            <w:sz w:val="22"/>
          </w:rPr>
          <w:t>7E.4</w:t>
        </w:r>
      </w:hyperlink>
      <w:r>
        <w:rPr>
          <w:rFonts w:ascii="Times New Roman" w:hAnsi="Times New Roman"/>
          <w:b w:val="false"/>
          <w:i w:val="false"/>
          <w:color w:val="000000"/>
          <w:sz w:val="22"/>
        </w:rPr>
        <w:t>, or a head of a major subunit of a state agency whose position involves a substantial exercise of administrative discretion or the expenditure of public funds. “Official” includes an individual serving in an interim or acting capacity.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 duties” </w:t>
      </w:r>
      <w:r>
        <w:rPr>
          <w:rFonts w:ascii="Times New Roman" w:hAnsi="Times New Roman"/>
          <w:b w:val="false"/>
          <w:i w:val="false"/>
          <w:color w:val="000000"/>
          <w:sz w:val="22"/>
        </w:rPr>
        <w:t>means the official duties, responsibilities, or activities of an official or employee that are mandated by law, rule, or court order, or that otherwise lawfully aid an agency of state government in carrying out the statutory functions of the agency.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0">
        <w:r>
          <w:rPr>
            <w:rStyle w:val="Hyperlink"/>
            <w:rFonts w:ascii="Times New Roman" w:hAnsi="Times New Roman"/>
            <w:b w:val="false"/>
            <w:i w:val="false"/>
            <w:color w:val="000000"/>
            <w:sz w:val="22"/>
          </w:rPr>
          <w:t>68B.2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7649B</w:t>
      </w:r>
      <w:r>
        <w:rPr>
          <w:rFonts w:ascii="Times New Roman" w:hAnsi="Times New Roman"/>
          <w:b w:val="false"/>
          <w:i w:val="false"/>
          <w:color w:val="000000"/>
          <w:sz w:val="16"/>
        </w:rPr>
        <w:t>, IAB 3/25/09, effective 4/29/09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4/8/09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351—6.3</w:t>
      </w:r>
      <w:r>
        <w:rPr>
          <w:rFonts w:ascii="Times New Roman" w:hAnsi="Times New Roman"/>
          <w:b/>
          <w:i w:val="false"/>
          <w:color w:val="000000"/>
          <w:sz w:val="22"/>
        </w:rPr>
        <w:t xml:space="preserve">(68B) </w:t>
      </w:r>
      <w:r>
        <w:rPr>
          <w:rFonts w:ascii="Times New Roman" w:hAnsi="Times New Roman"/>
          <w:b/>
          <w:i w:val="false"/>
          <w:color w:val="000000"/>
          <w:sz w:val="22"/>
        </w:rPr>
        <w:t xml:space="preserve">Complaints or filing information alleging a violation.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w:t>
      </w:r>
      <w:r>
        <w:rPr>
          <w:rFonts w:ascii="Times New Roman" w:hAnsi="Times New Roman"/>
          <w:b w:val="false"/>
          <w:i w:val="false"/>
          <w:color w:val="000000"/>
          <w:sz w:val="22"/>
        </w:rPr>
        <w:t> </w:t>
      </w:r>
      <w:r>
        <w:rPr>
          <w:rFonts w:ascii="Times New Roman" w:hAnsi="Times New Roman"/>
          <w:b w:val="false"/>
          <w:i/>
          <w:color w:val="000000"/>
          <w:sz w:val="22"/>
        </w:rPr>
        <w:t xml:space="preserve">Who may file. </w:t>
      </w:r>
      <w:r>
        <w:rPr>
          <w:rFonts w:ascii="Times New Roman" w:hAnsi="Times New Roman"/>
          <w:b w:val="false"/>
          <w:i w:val="false"/>
          <w:color w:val="000000"/>
          <w:sz w:val="22"/>
        </w:rPr>
        <w:t xml:space="preserve">Any person may file a complaint or provide information to the board alleging a violation of Iowa Code chapter </w:t>
      </w:r>
      <w:hyperlink r:id="rId11">
        <w:r>
          <w:rPr>
            <w:rStyle w:val="Hyperlink"/>
            <w:rFonts w:ascii="Times New Roman" w:hAnsi="Times New Roman"/>
            <w:b w:val="false"/>
            <w:i w:val="false"/>
            <w:color w:val="000000"/>
            <w:sz w:val="22"/>
          </w:rPr>
          <w:t>68B</w:t>
        </w:r>
      </w:hyperlink>
      <w:r>
        <w:rPr>
          <w:rFonts w:ascii="Times New Roman" w:hAnsi="Times New Roman"/>
          <w:b w:val="false"/>
          <w:i w:val="false"/>
          <w:color w:val="000000"/>
          <w:sz w:val="22"/>
        </w:rPr>
        <w:t xml:space="preserve"> or this chapter by officials, employees, and candidates for statewide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w:t>
      </w:r>
      <w:r>
        <w:rPr>
          <w:rFonts w:ascii="Times New Roman" w:hAnsi="Times New Roman"/>
          <w:b w:val="false"/>
          <w:i w:val="false"/>
          <w:color w:val="000000"/>
          <w:sz w:val="22"/>
        </w:rPr>
        <w:t> </w:t>
      </w:r>
      <w:r>
        <w:rPr>
          <w:rFonts w:ascii="Times New Roman" w:hAnsi="Times New Roman"/>
          <w:b w:val="false"/>
          <w:i/>
          <w:color w:val="000000"/>
          <w:sz w:val="22"/>
        </w:rPr>
        <w:t xml:space="preserve">Procedure. </w:t>
      </w:r>
      <w:r>
        <w:rPr>
          <w:rFonts w:ascii="Times New Roman" w:hAnsi="Times New Roman"/>
          <w:b w:val="false"/>
          <w:i w:val="false"/>
          <w:color w:val="000000"/>
          <w:sz w:val="22"/>
        </w:rPr>
        <w:t xml:space="preserve">The procedure for filing a complaint or providing information to the board alleging a violation of Iowa Code chapter </w:t>
      </w:r>
      <w:hyperlink r:id="rId12">
        <w:r>
          <w:rPr>
            <w:rStyle w:val="Hyperlink"/>
            <w:rFonts w:ascii="Times New Roman" w:hAnsi="Times New Roman"/>
            <w:b w:val="false"/>
            <w:i w:val="false"/>
            <w:color w:val="000000"/>
            <w:sz w:val="22"/>
          </w:rPr>
          <w:t>68B</w:t>
        </w:r>
      </w:hyperlink>
      <w:r>
        <w:rPr>
          <w:rFonts w:ascii="Times New Roman" w:hAnsi="Times New Roman"/>
          <w:b w:val="false"/>
          <w:i w:val="false"/>
          <w:color w:val="000000"/>
          <w:sz w:val="22"/>
        </w:rPr>
        <w:t xml:space="preserve"> or this chapter is set out in Iowa Code section </w:t>
      </w:r>
      <w:hyperlink r:id="rId13">
        <w:r>
          <w:rPr>
            <w:rStyle w:val="Hyperlink"/>
            <w:rFonts w:ascii="Times New Roman" w:hAnsi="Times New Roman"/>
            <w:b w:val="false"/>
            <w:i w:val="false"/>
            <w:color w:val="000000"/>
            <w:sz w:val="22"/>
          </w:rPr>
          <w:t>68B.32B</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351—Chapter 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6.3(3)</w:t>
      </w:r>
      <w:r>
        <w:rPr>
          <w:rFonts w:ascii="Times New Roman" w:hAnsi="Times New Roman"/>
          <w:b w:val="false"/>
          <w:i w:val="false"/>
          <w:color w:val="000000"/>
          <w:sz w:val="22"/>
        </w:rPr>
        <w:t> </w:t>
      </w:r>
      <w:r>
        <w:rPr>
          <w:rFonts w:ascii="Times New Roman" w:hAnsi="Times New Roman"/>
          <w:b w:val="false"/>
          <w:i/>
          <w:color w:val="000000"/>
          <w:sz w:val="22"/>
        </w:rPr>
        <w:t xml:space="preserve">Whistleblower protection. </w:t>
      </w:r>
      <w:r>
        <w:rPr>
          <w:rFonts w:ascii="Times New Roman" w:hAnsi="Times New Roman"/>
          <w:b w:val="false"/>
          <w:i w:val="false"/>
          <w:color w:val="000000"/>
          <w:sz w:val="22"/>
        </w:rPr>
        <w:t xml:space="preserve">A person who discharges or discriminates against an official or employee because the official or employee filed a complaint or provided information to the board shall be subject to the board’s complaint process if the official or employee filed the complaint or provided the information in good faith. If it is determined after a contested case proceeding that a person has impermissibly discharged or discriminated against an official or employee, the board may impose sanctions as set out in Iowa Code section </w:t>
      </w:r>
      <w:hyperlink r:id="rId15">
        <w:r>
          <w:rPr>
            <w:rStyle w:val="Hyperlink"/>
            <w:rFonts w:ascii="Times New Roman" w:hAnsi="Times New Roman"/>
            <w:b w:val="false"/>
            <w:i w:val="false"/>
            <w:color w:val="000000"/>
            <w:sz w:val="22"/>
          </w:rPr>
          <w:t>68B.32D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For purposes of this subrule, “good faith” means that any statements or materials in a complaint or included as part of information provided to the board were made or provided with a reasonable belief that such statements or materials were true and accurate.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6">
        <w:r>
          <w:rPr>
            <w:rStyle w:val="Hyperlink"/>
            <w:rFonts w:ascii="Times New Roman" w:hAnsi="Times New Roman"/>
            <w:b w:val="false"/>
            <w:i w:val="false"/>
            <w:color w:val="000000"/>
            <w:sz w:val="22"/>
          </w:rPr>
          <w:t>68B.32A(14)</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68B.32B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4/8/09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351—6.4</w:t>
      </w:r>
      <w:r>
        <w:rPr>
          <w:rFonts w:ascii="Times New Roman" w:hAnsi="Times New Roman"/>
          <w:b/>
          <w:i w:val="false"/>
          <w:color w:val="000000"/>
          <w:sz w:val="22"/>
        </w:rPr>
        <w:t xml:space="preserve">(68B) </w:t>
      </w:r>
      <w:r>
        <w:rPr>
          <w:rFonts w:ascii="Times New Roman" w:hAnsi="Times New Roman"/>
          <w:b/>
          <w:i w:val="false"/>
          <w:color w:val="000000"/>
          <w:sz w:val="22"/>
        </w:rPr>
        <w:t xml:space="preserve">Board advice. </w:t>
      </w:r>
      <w:r>
        <w:rPr>
          <w:rFonts w:ascii="Times New Roman" w:hAnsi="Times New Roman"/>
          <w:b w:val="false"/>
          <w:i w:val="false"/>
          <w:color w:val="000000"/>
          <w:sz w:val="22"/>
        </w:rPr>
        <w:t xml:space="preserve">Persons subject to the authority of the board under Iowa Code chapter </w:t>
      </w:r>
      <w:hyperlink r:id="rId18">
        <w:r>
          <w:rPr>
            <w:rStyle w:val="Hyperlink"/>
            <w:rFonts w:ascii="Times New Roman" w:hAnsi="Times New Roman"/>
            <w:b w:val="false"/>
            <w:i w:val="false"/>
            <w:color w:val="000000"/>
            <w:sz w:val="22"/>
          </w:rPr>
          <w:t>68B</w:t>
        </w:r>
      </w:hyperlink>
      <w:r>
        <w:rPr>
          <w:rFonts w:ascii="Times New Roman" w:hAnsi="Times New Roman"/>
          <w:b w:val="false"/>
          <w:i w:val="false"/>
          <w:color w:val="000000"/>
          <w:sz w:val="22"/>
        </w:rPr>
        <w:t xml:space="preserve"> or this chapter may seek advice or guidance from the board concerning the legality of any action or conduct potentially affected by Iowa Code chapter </w:t>
      </w:r>
      <w:hyperlink r:id="rId19">
        <w:r>
          <w:rPr>
            <w:rStyle w:val="Hyperlink"/>
            <w:rFonts w:ascii="Times New Roman" w:hAnsi="Times New Roman"/>
            <w:b w:val="false"/>
            <w:i w:val="false"/>
            <w:color w:val="000000"/>
            <w:sz w:val="22"/>
          </w:rPr>
          <w:t>68B</w:t>
        </w:r>
      </w:hyperlink>
      <w:r>
        <w:rPr>
          <w:rFonts w:ascii="Times New Roman" w:hAnsi="Times New Roman"/>
          <w:b w:val="false"/>
          <w:i w:val="false"/>
          <w:color w:val="000000"/>
          <w:sz w:val="22"/>
        </w:rPr>
        <w:t xml:space="preserve"> or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w:t>
      </w:r>
      <w:r>
        <w:rPr>
          <w:rFonts w:ascii="Times New Roman" w:hAnsi="Times New Roman"/>
          <w:b w:val="false"/>
          <w:i w:val="false"/>
          <w:color w:val="000000"/>
          <w:sz w:val="22"/>
        </w:rPr>
        <w:t> </w:t>
      </w:r>
      <w:r>
        <w:rPr>
          <w:rFonts w:ascii="Times New Roman" w:hAnsi="Times New Roman"/>
          <w:b w:val="false"/>
          <w:i/>
          <w:color w:val="000000"/>
          <w:sz w:val="22"/>
        </w:rPr>
        <w:t xml:space="preserve">Advisory opinion. </w:t>
      </w:r>
      <w:r>
        <w:rPr>
          <w:rFonts w:ascii="Times New Roman" w:hAnsi="Times New Roman"/>
          <w:b w:val="false"/>
          <w:i w:val="false"/>
          <w:color w:val="000000"/>
          <w:sz w:val="22"/>
        </w:rPr>
        <w:t xml:space="preserve">A board advisory opinion applies a statute or rule under the board’s jurisdiction to a particular factual situation. The procedure for requesting a board opinion is set out in rules </w:t>
      </w:r>
      <w:hyperlink r:id="rId20">
        <w:r>
          <w:rPr>
            <w:rStyle w:val="Hyperlink"/>
            <w:rFonts w:ascii="Times New Roman" w:hAnsi="Times New Roman"/>
            <w:b w:val="false"/>
            <w:i w:val="false"/>
            <w:color w:val="000000"/>
            <w:sz w:val="22"/>
          </w:rPr>
          <w:t>351—1.2(68B)</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351—1.3(68B)</w:t>
        </w:r>
      </w:hyperlink>
      <w:r>
        <w:rPr>
          <w:rFonts w:ascii="Times New Roman" w:hAnsi="Times New Roman"/>
          <w:b w:val="false"/>
          <w:i w:val="false"/>
          <w:color w:val="000000"/>
          <w:sz w:val="22"/>
        </w:rPr>
        <w:t xml:space="preserve">. Pursuant to Iowa Code section </w:t>
      </w:r>
      <w:hyperlink r:id="rId22">
        <w:r>
          <w:rPr>
            <w:rStyle w:val="Hyperlink"/>
            <w:rFonts w:ascii="Times New Roman" w:hAnsi="Times New Roman"/>
            <w:b w:val="false"/>
            <w:i w:val="false"/>
            <w:color w:val="000000"/>
            <w:sz w:val="22"/>
          </w:rPr>
          <w:t>68B.32A(12)</w:t>
        </w:r>
      </w:hyperlink>
      <w:r>
        <w:rPr>
          <w:rFonts w:ascii="Times New Roman" w:hAnsi="Times New Roman"/>
          <w:b w:val="false"/>
          <w:i w:val="false"/>
          <w:color w:val="000000"/>
          <w:sz w:val="22"/>
        </w:rPr>
        <w:t>, a board opinion, if followed, constitutes a defense to a subsequent complaint or information provided to the board concerning the same facts and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6.4(2)</w:t>
      </w:r>
      <w:r>
        <w:rPr>
          <w:rFonts w:ascii="Times New Roman" w:hAnsi="Times New Roman"/>
          <w:b w:val="false"/>
          <w:i w:val="false"/>
          <w:color w:val="000000"/>
          <w:sz w:val="22"/>
        </w:rPr>
        <w:t> </w:t>
      </w:r>
      <w:r>
        <w:rPr>
          <w:rFonts w:ascii="Times New Roman" w:hAnsi="Times New Roman"/>
          <w:b w:val="false"/>
          <w:i/>
          <w:color w:val="000000"/>
          <w:sz w:val="22"/>
        </w:rPr>
        <w:t xml:space="preserve">Declaratory order. </w:t>
      </w:r>
      <w:r>
        <w:rPr>
          <w:rFonts w:ascii="Times New Roman" w:hAnsi="Times New Roman"/>
          <w:b w:val="false"/>
          <w:i w:val="false"/>
          <w:color w:val="000000"/>
          <w:sz w:val="22"/>
        </w:rPr>
        <w:t xml:space="preserve">Persons may also seek board guidance concerning the application of a statute or rule under the board’s jurisdiction to a specific factual situation through the petition for declaratory order procedure set out in </w:t>
      </w:r>
      <w:hyperlink r:id="rId23">
        <w:r>
          <w:rPr>
            <w:rStyle w:val="Hyperlink"/>
            <w:rFonts w:ascii="Times New Roman" w:hAnsi="Times New Roman"/>
            <w:b w:val="false"/>
            <w:i w:val="false"/>
            <w:color w:val="000000"/>
            <w:sz w:val="22"/>
          </w:rPr>
          <w:t>351—Chapter 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6.4(3)</w:t>
      </w:r>
      <w:r>
        <w:rPr>
          <w:rFonts w:ascii="Times New Roman" w:hAnsi="Times New Roman"/>
          <w:b w:val="false"/>
          <w:i w:val="false"/>
          <w:color w:val="000000"/>
          <w:sz w:val="22"/>
        </w:rPr>
        <w:t> </w:t>
      </w:r>
      <w:r>
        <w:rPr>
          <w:rFonts w:ascii="Times New Roman" w:hAnsi="Times New Roman"/>
          <w:b w:val="false"/>
          <w:i/>
          <w:color w:val="000000"/>
          <w:sz w:val="22"/>
        </w:rPr>
        <w:t xml:space="preserve">Routine administrative advice. </w:t>
      </w:r>
      <w:r>
        <w:rPr>
          <w:rFonts w:ascii="Times New Roman" w:hAnsi="Times New Roman"/>
          <w:b w:val="false"/>
          <w:i w:val="false"/>
          <w:color w:val="000000"/>
          <w:sz w:val="22"/>
        </w:rPr>
        <w:t xml:space="preserve">A person may also receive oral or written routine administrative advice from board staff concerning the application of Iowa Code chapter </w:t>
      </w:r>
      <w:hyperlink r:id="rId24">
        <w:r>
          <w:rPr>
            <w:rStyle w:val="Hyperlink"/>
            <w:rFonts w:ascii="Times New Roman" w:hAnsi="Times New Roman"/>
            <w:b w:val="false"/>
            <w:i w:val="false"/>
            <w:color w:val="000000"/>
            <w:sz w:val="22"/>
          </w:rPr>
          <w:t>68B</w:t>
        </w:r>
      </w:hyperlink>
      <w:r>
        <w:rPr>
          <w:rFonts w:ascii="Times New Roman" w:hAnsi="Times New Roman"/>
          <w:b w:val="false"/>
          <w:i w:val="false"/>
          <w:color w:val="000000"/>
          <w:sz w:val="22"/>
        </w:rPr>
        <w:t xml:space="preserve"> or this chapter. Routine administrative advice is not binding on the board, but may be offered as a defense to a subsequent complaint or information provided to the board concerning the same facts and circumstances.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5">
        <w:r>
          <w:rPr>
            <w:rStyle w:val="Hyperlink"/>
            <w:rFonts w:ascii="Times New Roman" w:hAnsi="Times New Roman"/>
            <w:b w:val="false"/>
            <w:i w:val="false"/>
            <w:color w:val="000000"/>
            <w:sz w:val="22"/>
          </w:rPr>
          <w:t>68B.32A(12)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4/8/09</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DIVISION II</w:t>
      </w:r>
    </w:p>
    <w:p>
      <w:pPr>
        <w:pBdr>
          <w:bottom w:space="10"/>
        </w:pBdr>
        <w:spacing w:before="0" w:after="0"/>
        <w:ind w:left="120"/>
        <w:jc w:val="center"/>
      </w:pPr>
      <w:r>
        <w:rPr>
          <w:rFonts w:ascii="Times New Roman" w:hAnsi="Times New Roman"/>
          <w:b w:val="false"/>
          <w:i w:val="false"/>
          <w:color w:val="000000"/>
          <w:sz w:val="16"/>
        </w:rPr>
        <w:t>CONFLICT OF INTEREST AND MISUSE OF PROPERTY</w:t>
      </w:r>
    </w:p>
    <w:p>
      <w:pPr>
        <w:spacing w:before="210" w:after="0"/>
        <w:ind w:left="120"/>
        <w:jc w:val="both"/>
      </w:pPr>
      <w:r>
        <w:rPr>
          <w:rFonts w:ascii="Times New Roman" w:hAnsi="Times New Roman"/>
          <w:b/>
          <w:i w:val="false"/>
          <w:color w:val="000000"/>
          <w:sz w:val="22"/>
        </w:rPr>
        <w:t>351—6.5</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351—6.6</w:t>
      </w:r>
      <w:r>
        <w:rPr>
          <w:rFonts w:ascii="Times New Roman" w:hAnsi="Times New Roman"/>
          <w:b/>
          <w:i w:val="false"/>
          <w:color w:val="000000"/>
          <w:sz w:val="22"/>
        </w:rPr>
        <w:t xml:space="preserve">(68B) </w:t>
      </w:r>
      <w:r>
        <w:rPr>
          <w:rFonts w:ascii="Times New Roman" w:hAnsi="Times New Roman"/>
          <w:b/>
          <w:i w:val="false"/>
          <w:color w:val="000000"/>
          <w:sz w:val="22"/>
        </w:rPr>
        <w:t xml:space="preserve">Dual executive branch compensation prohibited. </w:t>
      </w:r>
      <w:r>
        <w:rPr>
          <w:rFonts w:ascii="Times New Roman" w:hAnsi="Times New Roman"/>
          <w:b w:val="false"/>
          <w:i w:val="false"/>
          <w:color w:val="000000"/>
          <w:sz w:val="22"/>
        </w:rPr>
        <w:t xml:space="preserve">Pursuant to Iowa Code section </w:t>
      </w:r>
      <w:hyperlink r:id="rId26">
        <w:r>
          <w:rPr>
            <w:rStyle w:val="Hyperlink"/>
            <w:rFonts w:ascii="Times New Roman" w:hAnsi="Times New Roman"/>
            <w:b w:val="false"/>
            <w:i w:val="false"/>
            <w:color w:val="000000"/>
            <w:sz w:val="22"/>
          </w:rPr>
          <w:t>68B.2B</w:t>
        </w:r>
      </w:hyperlink>
      <w:r>
        <w:rPr>
          <w:rFonts w:ascii="Times New Roman" w:hAnsi="Times New Roman"/>
          <w:b w:val="false"/>
          <w:i w:val="false"/>
          <w:color w:val="000000"/>
          <w:sz w:val="22"/>
        </w:rPr>
        <w:t>, an executive branch official or employee shall not receive compensation simultaneously from more than one executive branch agency unless the official or employee provides notice to the board within 20 business days of accepting employment with another executive branch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 xml:space="preserve">For purposes of Iowa Code section </w:t>
      </w:r>
      <w:hyperlink r:id="rId27">
        <w:r>
          <w:rPr>
            <w:rStyle w:val="Hyperlink"/>
            <w:rFonts w:ascii="Times New Roman" w:hAnsi="Times New Roman"/>
            <w:b w:val="false"/>
            <w:i w:val="false"/>
            <w:color w:val="000000"/>
            <w:sz w:val="22"/>
          </w:rPr>
          <w:t>68B.2B</w:t>
        </w:r>
      </w:hyperlink>
      <w:r>
        <w:rPr>
          <w:rFonts w:ascii="Times New Roman" w:hAnsi="Times New Roman"/>
          <w:b w:val="false"/>
          <w:i w:val="false"/>
          <w:color w:val="000000"/>
          <w:sz w:val="22"/>
        </w:rPr>
        <w:t xml:space="preserve"> and this rule,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“Executive branch agency” </w:t>
      </w:r>
      <w:r>
        <w:rPr>
          <w:rFonts w:ascii="Times New Roman" w:hAnsi="Times New Roman"/>
          <w:b w:val="false"/>
          <w:i w:val="false"/>
          <w:color w:val="000000"/>
          <w:sz w:val="22"/>
        </w:rPr>
        <w:t xml:space="preserve">means “agency of state government” or “state agency” as defined in Iowa Code section </w:t>
      </w:r>
      <w:hyperlink r:id="rId28">
        <w:r>
          <w:rPr>
            <w:rStyle w:val="Hyperlink"/>
            <w:rFonts w:ascii="Times New Roman" w:hAnsi="Times New Roman"/>
            <w:b w:val="false"/>
            <w:i w:val="false"/>
            <w:color w:val="000000"/>
            <w:sz w:val="22"/>
          </w:rPr>
          <w:t>68B.2(2)</w:t>
        </w:r>
      </w:hyperlink>
      <w:r>
        <w:rPr>
          <w:rFonts w:ascii="Times New Roman" w:hAnsi="Times New Roman"/>
          <w:b w:val="false"/>
          <w:i w:val="false"/>
          <w:color w:val="000000"/>
          <w:sz w:val="22"/>
        </w:rPr>
        <w:t xml:space="preserve">. However, the “legislative branch” is not considered an “agency of state government” or “state agency” for purposes of Iowa Code section </w:t>
      </w:r>
      <w:hyperlink r:id="rId29">
        <w:r>
          <w:rPr>
            <w:rStyle w:val="Hyperlink"/>
            <w:rFonts w:ascii="Times New Roman" w:hAnsi="Times New Roman"/>
            <w:b w:val="false"/>
            <w:i w:val="false"/>
            <w:color w:val="000000"/>
            <w:sz w:val="22"/>
          </w:rPr>
          <w:t>68B.2B</w:t>
        </w:r>
      </w:hyperlink>
      <w:r>
        <w:rPr>
          <w:rFonts w:ascii="Times New Roman" w:hAnsi="Times New Roman"/>
          <w:b w:val="false"/>
          <w:i w:val="false"/>
          <w:color w:val="000000"/>
          <w:sz w:val="22"/>
        </w:rPr>
        <w:t xml:space="preserve"> or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“Employment with a second executive branch agency” </w:t>
      </w:r>
      <w:r>
        <w:rPr>
          <w:rFonts w:ascii="Times New Roman" w:hAnsi="Times New Roman"/>
          <w:b w:val="false"/>
          <w:i w:val="false"/>
          <w:color w:val="000000"/>
          <w:sz w:val="22"/>
        </w:rPr>
        <w:t>includes services provided as an independent contractor with another executive branch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6.6(2)</w:t>
      </w:r>
      <w:r>
        <w:rPr>
          <w:rFonts w:ascii="Times New Roman" w:hAnsi="Times New Roman"/>
          <w:b w:val="false"/>
          <w:i w:val="false"/>
          <w:color w:val="000000"/>
          <w:sz w:val="22"/>
        </w:rPr>
        <w:t> </w:t>
      </w:r>
      <w:r>
        <w:rPr>
          <w:rFonts w:ascii="Times New Roman" w:hAnsi="Times New Roman"/>
          <w:b w:val="false"/>
          <w:i/>
          <w:color w:val="000000"/>
          <w:sz w:val="22"/>
        </w:rPr>
        <w:t xml:space="preserve">Exceptions. </w:t>
      </w:r>
      <w:r>
        <w:rPr>
          <w:rFonts w:ascii="Times New Roman" w:hAnsi="Times New Roman"/>
          <w:b w:val="false"/>
          <w:i w:val="false"/>
          <w:color w:val="000000"/>
          <w:sz w:val="22"/>
        </w:rPr>
        <w:t xml:space="preserve">The prohibitions in Iowa Code section </w:t>
      </w:r>
      <w:hyperlink r:id="rId30">
        <w:r>
          <w:rPr>
            <w:rStyle w:val="Hyperlink"/>
            <w:rFonts w:ascii="Times New Roman" w:hAnsi="Times New Roman"/>
            <w:b w:val="false"/>
            <w:i w:val="false"/>
            <w:color w:val="000000"/>
            <w:sz w:val="22"/>
          </w:rPr>
          <w:t>68B.2B</w:t>
        </w:r>
      </w:hyperlink>
      <w:r>
        <w:rPr>
          <w:rFonts w:ascii="Times New Roman" w:hAnsi="Times New Roman"/>
          <w:b w:val="false"/>
          <w:i w:val="false"/>
          <w:color w:val="000000"/>
          <w:sz w:val="22"/>
        </w:rPr>
        <w:t xml:space="preserve"> and this rule do not apply to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Employment with any governmental entity other than simultaneous employment with two or more executive branch agencies.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Service in the Iowa national guard.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 official or employee who is interchanged from one executive branch agency to another executive branch agency pursuant to Iowa Code chapter </w:t>
      </w:r>
      <w:hyperlink r:id="rId31">
        <w:r>
          <w:rPr>
            <w:rStyle w:val="Hyperlink"/>
            <w:rFonts w:ascii="Times New Roman" w:hAnsi="Times New Roman"/>
            <w:b w:val="false"/>
            <w:i w:val="false"/>
            <w:color w:val="000000"/>
            <w:sz w:val="22"/>
          </w:rPr>
          <w:t>28D</w:t>
        </w:r>
      </w:hyperlink>
      <w:r>
        <w:rPr>
          <w:rFonts w:ascii="Times New Roman" w:hAnsi="Times New Roman"/>
          <w:b w:val="false"/>
          <w:i w:val="false"/>
          <w:color w:val="000000"/>
          <w:sz w:val="22"/>
        </w:rPr>
        <w:t xml:space="preserve"> unless the official or employee is simultaneously receiving compensation from both the “receiving agency” and the “sending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Serving on the board, commission, or authority of two or more executive branch agencies.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6.6(3)</w:t>
      </w:r>
      <w:r>
        <w:rPr>
          <w:rFonts w:ascii="Times New Roman" w:hAnsi="Times New Roman"/>
          <w:b w:val="false"/>
          <w:i w:val="false"/>
          <w:color w:val="000000"/>
          <w:sz w:val="22"/>
        </w:rPr>
        <w:t> </w:t>
      </w:r>
      <w:r>
        <w:rPr>
          <w:rFonts w:ascii="Times New Roman" w:hAnsi="Times New Roman"/>
          <w:b w:val="false"/>
          <w:i/>
          <w:color w:val="000000"/>
          <w:sz w:val="22"/>
        </w:rPr>
        <w:t xml:space="preserve">Reporting form. </w:t>
      </w:r>
      <w:r>
        <w:rPr>
          <w:rFonts w:ascii="Times New Roman" w:hAnsi="Times New Roman"/>
          <w:b w:val="false"/>
          <w:i w:val="false"/>
          <w:color w:val="000000"/>
          <w:sz w:val="22"/>
        </w:rPr>
        <w:t xml:space="preserve">An official or employee of the executive branch who accepts simultaneous employment with another executive branch agency shall file Form Dual-Comp within 20 business days of accepting employment with the second executive branch agency. The form shall be filed with the board at 510 East 12th Street, Suite 1A, Des Moines, Iowa 50319; by fax at (515)281-4073; or as an email attachment. The failure to timely file Form Dual-Comp may subject the executive branch official or employee to board sanctions under Iowa Code chapter </w:t>
      </w:r>
      <w:hyperlink r:id="rId32">
        <w:r>
          <w:rPr>
            <w:rStyle w:val="Hyperlink"/>
            <w:rFonts w:ascii="Times New Roman" w:hAnsi="Times New Roman"/>
            <w:b w:val="false"/>
            <w:i w:val="false"/>
            <w:color w:val="000000"/>
            <w:sz w:val="22"/>
          </w:rPr>
          <w:t>68B</w:t>
        </w:r>
      </w:hyperlink>
      <w:r>
        <w:rPr>
          <w:rFonts w:ascii="Times New Roman" w:hAnsi="Times New Roman"/>
          <w:b w:val="false"/>
          <w:i w:val="false"/>
          <w:color w:val="000000"/>
          <w:sz w:val="22"/>
        </w:rPr>
        <w:t xml:space="preserve"> and rule 351—9.4(68B).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9035B</w:t>
      </w:r>
      <w:r>
        <w:rPr>
          <w:rFonts w:ascii="Times New Roman" w:hAnsi="Times New Roman"/>
          <w:b w:val="false"/>
          <w:i w:val="false"/>
          <w:color w:val="000000"/>
          <w:sz w:val="16"/>
        </w:rPr>
        <w:t>, IAB 8/25/10, effective 9/29/10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351—6.7</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351—6.8</w:t>
      </w:r>
      <w:r>
        <w:rPr>
          <w:rFonts w:ascii="Times New Roman" w:hAnsi="Times New Roman"/>
          <w:b/>
          <w:i w:val="false"/>
          <w:color w:val="000000"/>
          <w:sz w:val="22"/>
        </w:rPr>
        <w:t xml:space="preserve">(68B) </w:t>
      </w:r>
      <w:r>
        <w:rPr>
          <w:rFonts w:ascii="Times New Roman" w:hAnsi="Times New Roman"/>
          <w:b/>
          <w:i w:val="false"/>
          <w:color w:val="000000"/>
          <w:sz w:val="22"/>
        </w:rPr>
        <w:t xml:space="preserve">Misuse of public property. </w:t>
      </w:r>
      <w:r>
        <w:rPr>
          <w:rFonts w:ascii="Times New Roman" w:hAnsi="Times New Roman"/>
          <w:b w:val="false"/>
          <w:i w:val="false"/>
          <w:color w:val="000000"/>
          <w:sz w:val="22"/>
        </w:rPr>
        <w:t xml:space="preserve">Iowa Code section </w:t>
      </w:r>
      <w:hyperlink r:id="rId33">
        <w:r>
          <w:rPr>
            <w:rStyle w:val="Hyperlink"/>
            <w:rFonts w:ascii="Times New Roman" w:hAnsi="Times New Roman"/>
            <w:b w:val="false"/>
            <w:i w:val="false"/>
            <w:color w:val="000000"/>
            <w:sz w:val="22"/>
          </w:rPr>
          <w:t>68B.32A(13)</w:t>
        </w:r>
      </w:hyperlink>
      <w:r>
        <w:rPr>
          <w:rFonts w:ascii="Times New Roman" w:hAnsi="Times New Roman"/>
          <w:b w:val="false"/>
          <w:i w:val="false"/>
          <w:color w:val="000000"/>
          <w:sz w:val="22"/>
        </w:rPr>
        <w:t xml:space="preserve"> directs the board to establish rules relating to the misuse of public property by officials, employees, and candidates for statewide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6.8(1)</w:t>
      </w:r>
      <w:r>
        <w:rPr>
          <w:rFonts w:ascii="Times New Roman" w:hAnsi="Times New Roman"/>
          <w:b w:val="false"/>
          <w:i w:val="false"/>
          <w:color w:val="000000"/>
          <w:sz w:val="22"/>
        </w:rPr>
        <w:t> </w:t>
      </w:r>
      <w:r>
        <w:rPr>
          <w:rFonts w:ascii="Times New Roman" w:hAnsi="Times New Roman"/>
          <w:b w:val="false"/>
          <w:i/>
          <w:color w:val="000000"/>
          <w:sz w:val="22"/>
        </w:rPr>
        <w:t xml:space="preserve">Definition of public property. </w:t>
      </w:r>
      <w:r>
        <w:rPr>
          <w:rFonts w:ascii="Times New Roman" w:hAnsi="Times New Roman"/>
          <w:b w:val="false"/>
          <w:i w:val="false"/>
          <w:color w:val="000000"/>
          <w:sz w:val="22"/>
        </w:rPr>
        <w:t>“Public property” means any real or personal property owned or controlled by the state of Iowa including but not limited to buildings, facilities, equipment, supplies, funds, records, files, and materials.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6.8(2)</w:t>
      </w:r>
      <w:r>
        <w:rPr>
          <w:rFonts w:ascii="Times New Roman" w:hAnsi="Times New Roman"/>
          <w:b w:val="false"/>
          <w:i w:val="false"/>
          <w:color w:val="000000"/>
          <w:sz w:val="22"/>
        </w:rPr>
        <w:t> </w:t>
      </w:r>
      <w:r>
        <w:rPr>
          <w:rFonts w:ascii="Times New Roman" w:hAnsi="Times New Roman"/>
          <w:b w:val="false"/>
          <w:i/>
          <w:color w:val="000000"/>
          <w:sz w:val="22"/>
        </w:rPr>
        <w:t xml:space="preserve">Prohibited uses. </w:t>
      </w:r>
      <w:r>
        <w:rPr>
          <w:rFonts w:ascii="Times New Roman" w:hAnsi="Times New Roman"/>
          <w:b w:val="false"/>
          <w:i w:val="false"/>
          <w:color w:val="000000"/>
          <w:sz w:val="22"/>
        </w:rPr>
        <w:t>The following are deemed to be the misuse of public property by an official, employee, or candidate for statewide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Using public property to engage in an outside employment or activity that leads to an unacceptable conflict of interest as prohibited in Iowa Code section </w:t>
      </w:r>
      <w:hyperlink r:id="rId34">
        <w:r>
          <w:rPr>
            <w:rStyle w:val="Hyperlink"/>
            <w:rFonts w:ascii="Times New Roman" w:hAnsi="Times New Roman"/>
            <w:b w:val="false"/>
            <w:i w:val="false"/>
            <w:color w:val="000000"/>
            <w:sz w:val="22"/>
          </w:rPr>
          <w:t>68B.2A(1)</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Using public property to knowingly and purposefully send, receive, or view obscene material. “Obscene material” means any material depicting or describing the genitals, sex acts, masturbation, excretory functions, or sadomasochistic abuse which the average person, taking the material as a whole and applying contemporary community standards with respect to what is suitable material, would find appeals to the prurient interest and is patently offensive; and the material, taken as a whole, lacks serious literary, scientific, political, or artistic value.</w:t>
      </w:r>
    </w:p>
    <w:p>
      <w:pPr>
        <w:spacing w:before="0" w:after="0"/>
        <w:ind w:left="120"/>
        <w:jc w:val="both"/>
      </w:pPr>
      <w:r>
        <w:rPr>
          <w:rFonts w:ascii="Times New Roman" w:hAnsi="Times New Roman"/>
          <w:b w:val="false"/>
          <w:i w:val="false"/>
          <w:color w:val="000000"/>
          <w:sz w:val="22"/>
        </w:rPr>
        <w:t>This paragraph shall not apply to obscene materials that are sent or received as part of a law enforcement investigation or are authorized by law to be sent or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Using public property for personal financial gain. This prohibition does not apply to the receipt of lawful compensation for the performance of official state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Using public property for a personal benefit to the detriment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Removing public property from a state building or facility for personal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Using public property to engage in political activities as prohibited in </w:t>
      </w:r>
      <w:hyperlink r:id="rId35">
        <w:r>
          <w:rPr>
            <w:rStyle w:val="Hyperlink"/>
            <w:rFonts w:ascii="Times New Roman" w:hAnsi="Times New Roman"/>
            <w:b w:val="false"/>
            <w:i w:val="false"/>
            <w:color w:val="000000"/>
            <w:sz w:val="22"/>
          </w:rPr>
          <w:t>351—Chapter 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6">
        <w:r>
          <w:rPr>
            <w:rStyle w:val="Hyperlink"/>
            <w:rFonts w:ascii="Times New Roman" w:hAnsi="Times New Roman"/>
            <w:b w:val="false"/>
            <w:i w:val="false"/>
            <w:color w:val="000000"/>
            <w:sz w:val="22"/>
          </w:rPr>
          <w:t>68B.32A(13)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4/8/09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351—6.9</w:t>
      </w:r>
      <w:r>
        <w:rPr>
          <w:rFonts w:ascii="Times New Roman" w:hAnsi="Times New Roman"/>
          <w:b/>
          <w:i w:val="false"/>
          <w:color w:val="000000"/>
          <w:sz w:val="22"/>
        </w:rPr>
        <w:t xml:space="preserve">(68B) </w:t>
      </w:r>
      <w:r>
        <w:rPr>
          <w:rFonts w:ascii="Times New Roman" w:hAnsi="Times New Roman"/>
          <w:b/>
          <w:i w:val="false"/>
          <w:color w:val="000000"/>
          <w:sz w:val="22"/>
        </w:rPr>
        <w:t xml:space="preserve">Use of confidential information. </w:t>
      </w:r>
      <w:r>
        <w:rPr>
          <w:rFonts w:ascii="Times New Roman" w:hAnsi="Times New Roman"/>
          <w:b w:val="false"/>
          <w:i w:val="false"/>
          <w:color w:val="000000"/>
          <w:sz w:val="22"/>
        </w:rPr>
        <w:t>No official or employee shall disclose or use confidential information, including the contents of a sealed bid acquired during the course of the official’s or employee’s state duties, for the personal gain or benefit of any person. This rule does not apply to the release of information that is mandated by law, rule, or court order.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7">
        <w:r>
          <w:rPr>
            <w:rStyle w:val="Hyperlink"/>
            <w:rFonts w:ascii="Times New Roman" w:hAnsi="Times New Roman"/>
            <w:b w:val="false"/>
            <w:i w:val="false"/>
            <w:color w:val="000000"/>
            <w:sz w:val="22"/>
          </w:rPr>
          <w:t>68B.32A(13)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4/8/09</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DIVISION III</w:t>
      </w:r>
    </w:p>
    <w:p>
      <w:pPr>
        <w:pBdr>
          <w:bottom w:space="10"/>
        </w:pBdr>
        <w:spacing w:before="0" w:after="0"/>
        <w:ind w:left="120"/>
        <w:jc w:val="center"/>
      </w:pPr>
      <w:r>
        <w:rPr>
          <w:rFonts w:ascii="Times New Roman" w:hAnsi="Times New Roman"/>
          <w:b w:val="false"/>
          <w:i w:val="false"/>
          <w:color w:val="000000"/>
          <w:sz w:val="16"/>
        </w:rPr>
        <w:t>SALES OR LEASES OF GOODS, REAL ESTATE, OR SERVICES</w:t>
      </w:r>
    </w:p>
    <w:p>
      <w:pPr>
        <w:spacing w:before="0" w:after="0"/>
        <w:ind w:left="120"/>
        <w:jc w:val="both"/>
      </w:pPr>
      <w:r>
        <w:rPr>
          <w:rFonts w:ascii="Times New Roman" w:hAnsi="Times New Roman"/>
          <w:b/>
          <w:i w:val="false"/>
          <w:color w:val="000000"/>
          <w:sz w:val="22"/>
        </w:rPr>
        <w:t>351—6.10</w:t>
      </w:r>
      <w:r>
        <w:rPr>
          <w:rFonts w:ascii="Times New Roman" w:hAnsi="Times New Roman"/>
          <w:b/>
          <w:i w:val="false"/>
          <w:color w:val="000000"/>
          <w:sz w:val="22"/>
        </w:rPr>
        <w:t xml:space="preserve">(68B) </w:t>
      </w:r>
      <w:r>
        <w:rPr>
          <w:rFonts w:ascii="Times New Roman" w:hAnsi="Times New Roman"/>
          <w:b/>
          <w:i w:val="false"/>
          <w:color w:val="000000"/>
          <w:sz w:val="22"/>
        </w:rPr>
        <w:t xml:space="preserve">Prohibition on sales; when public bids required—disclosure of income. </w:t>
      </w:r>
      <w:r>
        <w:rPr>
          <w:rFonts w:ascii="Times New Roman" w:hAnsi="Times New Roman"/>
          <w:b w:val="false"/>
          <w:i w:val="false"/>
          <w:color w:val="000000"/>
          <w:sz w:val="22"/>
        </w:rPr>
        <w:t xml:space="preserve">Pursuant to Iowa Code section </w:t>
      </w:r>
      <w:hyperlink r:id="rId38">
        <w:r>
          <w:rPr>
            <w:rStyle w:val="Hyperlink"/>
            <w:rFonts w:ascii="Times New Roman" w:hAnsi="Times New Roman"/>
            <w:b w:val="false"/>
            <w:i w:val="false"/>
            <w:color w:val="000000"/>
            <w:sz w:val="22"/>
          </w:rPr>
          <w:t>68B.3</w:t>
        </w:r>
      </w:hyperlink>
      <w:r>
        <w:rPr>
          <w:rFonts w:ascii="Times New Roman" w:hAnsi="Times New Roman"/>
          <w:b w:val="false"/>
          <w:i w:val="false"/>
          <w:color w:val="000000"/>
          <w:sz w:val="22"/>
        </w:rPr>
        <w:t>, an official or employee shall not sell, in any one occurrence, goods or services having a value in excess of $2,000 to a state agency unless the sale is made pursuant to an award or contract let after public notice and competitive bidding and the official or employee making the sale files Form Public Bid with the board within 20 days of making the sale. This prohibition includes sales to the state agency in which the official or employee serves or is employed.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6.10(1)</w:t>
      </w:r>
      <w:r>
        <w:rPr>
          <w:rFonts w:ascii="Times New Roman" w:hAnsi="Times New Roman"/>
          <w:b w:val="false"/>
          <w:i w:val="false"/>
          <w:color w:val="000000"/>
          <w:sz w:val="22"/>
        </w:rPr>
        <w:t> </w:t>
      </w:r>
      <w:r>
        <w:rPr>
          <w:rFonts w:ascii="Times New Roman" w:hAnsi="Times New Roman"/>
          <w:b w:val="false"/>
          <w:i/>
          <w:color w:val="000000"/>
          <w:sz w:val="22"/>
        </w:rPr>
        <w:t xml:space="preserve">Exceptions. </w:t>
      </w:r>
      <w:r>
        <w:rPr>
          <w:rFonts w:ascii="Times New Roman" w:hAnsi="Times New Roman"/>
          <w:b w:val="false"/>
          <w:i w:val="false"/>
          <w:color w:val="000000"/>
          <w:sz w:val="22"/>
        </w:rPr>
        <w:t xml:space="preserve">The prohibition in Iowa Code section </w:t>
      </w:r>
      <w:hyperlink r:id="rId39">
        <w:r>
          <w:rPr>
            <w:rStyle w:val="Hyperlink"/>
            <w:rFonts w:ascii="Times New Roman" w:hAnsi="Times New Roman"/>
            <w:b w:val="false"/>
            <w:i w:val="false"/>
            <w:color w:val="000000"/>
            <w:sz w:val="22"/>
          </w:rPr>
          <w:t>68B.3</w:t>
        </w:r>
      </w:hyperlink>
      <w:r>
        <w:rPr>
          <w:rFonts w:ascii="Times New Roman" w:hAnsi="Times New Roman"/>
          <w:b w:val="false"/>
          <w:i w:val="false"/>
          <w:color w:val="000000"/>
          <w:sz w:val="22"/>
        </w:rPr>
        <w:t xml:space="preserve"> and this rule shall not apply to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Sales of goods or services done as part of the official’s or employee’s state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Sales of goods or services by a member of a board or commission to state executive branch agencies or subunits of departments or independent agencies that are not the subunit of the department or independent agency in which the person serves or are not a subunit of a department or independent agency with which the person has substantial and regular contact as part of the person’s duties. “Board” and “commission” as used in this rule mean the same as defined in Iowa Code section </w:t>
      </w:r>
      <w:hyperlink r:id="rId40">
        <w:r>
          <w:rPr>
            <w:rStyle w:val="Hyperlink"/>
            <w:rFonts w:ascii="Times New Roman" w:hAnsi="Times New Roman"/>
            <w:b w:val="false"/>
            <w:i w:val="false"/>
            <w:color w:val="000000"/>
            <w:sz w:val="22"/>
          </w:rPr>
          <w:t>7E.4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publication of resolutions, advertisements, or other legal propositions or notices in newspapers designated by law for the publication of such materials and for which publication rates are fixed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Instruction at an accredited educational institution if the official or employee meets the minimum education and licensing requirements established for other instructors at the educational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contract for professional services that is exempt from competitive bidding requirements under any provision in the Iowa Code or Iowa Administrative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6.10(2)</w:t>
      </w:r>
      <w:r>
        <w:rPr>
          <w:rFonts w:ascii="Times New Roman" w:hAnsi="Times New Roman"/>
          <w:b w:val="false"/>
          <w:i w:val="false"/>
          <w:color w:val="000000"/>
          <w:sz w:val="22"/>
        </w:rPr>
        <w:t> </w:t>
      </w:r>
      <w:r>
        <w:rPr>
          <w:rFonts w:ascii="Times New Roman" w:hAnsi="Times New Roman"/>
          <w:b w:val="false"/>
          <w:i/>
          <w:color w:val="000000"/>
          <w:sz w:val="22"/>
        </w:rPr>
        <w:t xml:space="preserve">Sales to political subdivisions. </w:t>
      </w:r>
      <w:r>
        <w:rPr>
          <w:rFonts w:ascii="Times New Roman" w:hAnsi="Times New Roman"/>
          <w:b w:val="false"/>
          <w:i w:val="false"/>
          <w:color w:val="000000"/>
          <w:sz w:val="22"/>
        </w:rPr>
        <w:t xml:space="preserve">An official who sells goods or services to a political subdivision of the state shall disclose on the official’s Form PFD as provided in </w:t>
      </w:r>
      <w:hyperlink r:id="rId41">
        <w:r>
          <w:rPr>
            <w:rStyle w:val="Hyperlink"/>
            <w:rFonts w:ascii="Times New Roman" w:hAnsi="Times New Roman"/>
            <w:b w:val="false"/>
            <w:i w:val="false"/>
            <w:color w:val="000000"/>
            <w:sz w:val="22"/>
          </w:rPr>
          <w:t>351—Chapter 7</w:t>
        </w:r>
      </w:hyperlink>
      <w:r>
        <w:rPr>
          <w:rFonts w:ascii="Times New Roman" w:hAnsi="Times New Roman"/>
          <w:b w:val="false"/>
          <w:i w:val="false"/>
          <w:color w:val="000000"/>
          <w:sz w:val="22"/>
        </w:rPr>
        <w:t xml:space="preserve"> if income was received from the sale.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6.10(3)</w:t>
      </w:r>
      <w:r>
        <w:rPr>
          <w:rFonts w:ascii="Times New Roman" w:hAnsi="Times New Roman"/>
          <w:b w:val="false"/>
          <w:i w:val="false"/>
          <w:color w:val="000000"/>
          <w:sz w:val="22"/>
        </w:rPr>
        <w:t> </w:t>
      </w:r>
      <w:r>
        <w:rPr>
          <w:rFonts w:ascii="Times New Roman" w:hAnsi="Times New Roman"/>
          <w:b w:val="false"/>
          <w:i/>
          <w:color w:val="000000"/>
          <w:sz w:val="22"/>
        </w:rPr>
        <w:t xml:space="preserve">Filing of report. </w:t>
      </w:r>
      <w:r>
        <w:rPr>
          <w:rFonts w:ascii="Times New Roman" w:hAnsi="Times New Roman"/>
          <w:b w:val="false"/>
          <w:i w:val="false"/>
          <w:color w:val="000000"/>
          <w:sz w:val="22"/>
        </w:rPr>
        <w:t xml:space="preserve">An official or employee making a sale to a state agency pursuant to Iowa Code section </w:t>
      </w:r>
      <w:hyperlink r:id="rId42">
        <w:r>
          <w:rPr>
            <w:rStyle w:val="Hyperlink"/>
            <w:rFonts w:ascii="Times New Roman" w:hAnsi="Times New Roman"/>
            <w:b w:val="false"/>
            <w:i w:val="false"/>
            <w:color w:val="000000"/>
            <w:sz w:val="22"/>
          </w:rPr>
          <w:t>68B.3</w:t>
        </w:r>
      </w:hyperlink>
      <w:r>
        <w:rPr>
          <w:rFonts w:ascii="Times New Roman" w:hAnsi="Times New Roman"/>
          <w:b w:val="false"/>
          <w:i w:val="false"/>
          <w:color w:val="000000"/>
          <w:sz w:val="22"/>
        </w:rPr>
        <w:t xml:space="preserve"> shall file Form Public Bid within 20 days of making the sale. The form shall be filed with the board at 510 East 12th Street, Suite 1A, Des Moines, Iowa 50319; by fax at (515)281-4073; or as an email attachment. The failure to timely file Form Public Bid with the board within 20 days of making the sale may subject the official or employee to board sanctions under Iowa Code chapter </w:t>
      </w:r>
      <w:hyperlink r:id="rId43">
        <w:r>
          <w:rPr>
            <w:rStyle w:val="Hyperlink"/>
            <w:rFonts w:ascii="Times New Roman" w:hAnsi="Times New Roman"/>
            <w:b w:val="false"/>
            <w:i w:val="false"/>
            <w:color w:val="000000"/>
            <w:sz w:val="22"/>
          </w:rPr>
          <w:t>68B</w:t>
        </w:r>
      </w:hyperlink>
      <w:r>
        <w:rPr>
          <w:rFonts w:ascii="Times New Roman" w:hAnsi="Times New Roman"/>
          <w:b w:val="false"/>
          <w:i w:val="false"/>
          <w:color w:val="000000"/>
          <w:sz w:val="22"/>
        </w:rPr>
        <w:t xml:space="preserve"> and rule 351—9.4(68B).</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4">
        <w:r>
          <w:rPr>
            <w:rStyle w:val="Hyperlink"/>
            <w:rFonts w:ascii="Times New Roman" w:hAnsi="Times New Roman"/>
            <w:b w:val="false"/>
            <w:i w:val="false"/>
            <w:color w:val="000000"/>
            <w:sz w:val="22"/>
          </w:rPr>
          <w:t>68B.3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7650B</w:t>
      </w:r>
      <w:r>
        <w:rPr>
          <w:rFonts w:ascii="Times New Roman" w:hAnsi="Times New Roman"/>
          <w:b w:val="false"/>
          <w:i w:val="false"/>
          <w:color w:val="000000"/>
          <w:sz w:val="16"/>
        </w:rPr>
        <w:t>, IAB 3/25/09, effective 4/29/09</w:t>
      </w:r>
      <w:r>
        <w:rPr>
          <w:rFonts w:ascii="Times New Roman" w:hAnsi="Times New Roman"/>
          <w:b w:val="false"/>
          <w:i w:val="false"/>
          <w:color w:val="000000"/>
          <w:sz w:val="16"/>
        </w:rPr>
        <w:t xml:space="preserve">; </w:t>
      </w:r>
      <w:r>
        <w:rPr>
          <w:rFonts w:ascii="Times New Roman" w:hAnsi="Times New Roman"/>
          <w:b/>
          <w:i w:val="false"/>
          <w:color w:val="000000"/>
          <w:sz w:val="16"/>
        </w:rPr>
        <w:t>ARC 9036B</w:t>
      </w:r>
      <w:r>
        <w:rPr>
          <w:rFonts w:ascii="Times New Roman" w:hAnsi="Times New Roman"/>
          <w:b w:val="false"/>
          <w:i w:val="false"/>
          <w:color w:val="000000"/>
          <w:sz w:val="16"/>
        </w:rPr>
        <w:t>, IAB 8/25/10, effective 9/29/10</w:t>
      </w:r>
      <w:r>
        <w:rPr>
          <w:rFonts w:ascii="Times New Roman" w:hAnsi="Times New Roman"/>
          <w:b w:val="false"/>
          <w:i w:val="false"/>
          <w:color w:val="000000"/>
          <w:sz w:val="16"/>
        </w:rPr>
        <w:t xml:space="preserve">; </w:t>
      </w:r>
      <w:r>
        <w:rPr>
          <w:rFonts w:ascii="Times New Roman" w:hAnsi="Times New Roman"/>
          <w:b/>
          <w:i w:val="false"/>
          <w:color w:val="000000"/>
          <w:sz w:val="16"/>
        </w:rPr>
        <w:t>ARC 5525C</w:t>
      </w:r>
      <w:r>
        <w:rPr>
          <w:rFonts w:ascii="Times New Roman" w:hAnsi="Times New Roman"/>
          <w:b w:val="false"/>
          <w:i w:val="false"/>
          <w:color w:val="000000"/>
          <w:sz w:val="16"/>
        </w:rPr>
        <w:t>, IAB 3/24/21, effective 4/28/21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351—6.11</w:t>
      </w:r>
      <w:r>
        <w:rPr>
          <w:rFonts w:ascii="Times New Roman" w:hAnsi="Times New Roman"/>
          <w:b/>
          <w:i w:val="false"/>
          <w:color w:val="000000"/>
          <w:sz w:val="22"/>
        </w:rPr>
        <w:t xml:space="preserve">(68B) </w:t>
      </w:r>
      <w:r>
        <w:rPr>
          <w:rFonts w:ascii="Times New Roman" w:hAnsi="Times New Roman"/>
          <w:b/>
          <w:i w:val="false"/>
          <w:color w:val="000000"/>
          <w:sz w:val="22"/>
        </w:rPr>
        <w:t xml:space="preserve">Sales or leases by regulatory agency officials or employees. </w:t>
      </w:r>
      <w:r>
        <w:rPr>
          <w:rFonts w:ascii="Times New Roman" w:hAnsi="Times New Roman"/>
          <w:b w:val="false"/>
          <w:i w:val="false"/>
          <w:color w:val="000000"/>
          <w:sz w:val="22"/>
        </w:rPr>
        <w:t xml:space="preserve">An official or employee of a regulatory agency shall not directly or indirectly sell or lease any goods, real estate, or services to individuals, associations, or corporations subject to the regulatory authority of the official’s or employee’s agency except as provided by Iowa Code section </w:t>
      </w:r>
      <w:hyperlink r:id="rId45">
        <w:r>
          <w:rPr>
            <w:rStyle w:val="Hyperlink"/>
            <w:rFonts w:ascii="Times New Roman" w:hAnsi="Times New Roman"/>
            <w:b w:val="false"/>
            <w:i w:val="false"/>
            <w:color w:val="000000"/>
            <w:sz w:val="22"/>
          </w:rPr>
          <w:t>68B.4</w:t>
        </w:r>
      </w:hyperlink>
      <w:r>
        <w:rPr>
          <w:rFonts w:ascii="Times New Roman" w:hAnsi="Times New Roman"/>
          <w:b w:val="false"/>
          <w:i w:val="false"/>
          <w:color w:val="000000"/>
          <w:sz w:val="22"/>
        </w:rPr>
        <w:t xml:space="preserve"> and this rule. This prohibition does not apply to sales or leases that are part of the official’s or employee’s state duties.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purposes of this rule,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“Agency” </w:t>
      </w:r>
      <w:r>
        <w:rPr>
          <w:rFonts w:ascii="Times New Roman" w:hAnsi="Times New Roman"/>
          <w:b w:val="false"/>
          <w:i w:val="false"/>
          <w:color w:val="000000"/>
          <w:sz w:val="22"/>
        </w:rPr>
        <w:t>means a regulatory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“Employee” </w:t>
      </w:r>
      <w:r>
        <w:rPr>
          <w:rFonts w:ascii="Times New Roman" w:hAnsi="Times New Roman"/>
          <w:b w:val="false"/>
          <w:i w:val="false"/>
          <w:color w:val="000000"/>
          <w:sz w:val="22"/>
        </w:rPr>
        <w:t>means an employee of an executive branch regulatory agency and does not include an independent contractor or an official.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“Official” </w:t>
      </w:r>
      <w:r>
        <w:rPr>
          <w:rFonts w:ascii="Times New Roman" w:hAnsi="Times New Roman"/>
          <w:b w:val="false"/>
          <w:i w:val="false"/>
          <w:color w:val="000000"/>
          <w:sz w:val="22"/>
        </w:rPr>
        <w:t xml:space="preserve">means a statewide elected official of a regulatory agency, an executive or administrative head or heads of a regulatory agency, a deputy executive or administrative head or heads of a regulatory agency, a member of a board or commission as defined under Iowa Code section </w:t>
      </w:r>
      <w:hyperlink r:id="rId46">
        <w:r>
          <w:rPr>
            <w:rStyle w:val="Hyperlink"/>
            <w:rFonts w:ascii="Times New Roman" w:hAnsi="Times New Roman"/>
            <w:b w:val="false"/>
            <w:i w:val="false"/>
            <w:color w:val="000000"/>
            <w:sz w:val="22"/>
          </w:rPr>
          <w:t>7E.4</w:t>
        </w:r>
      </w:hyperlink>
      <w:r>
        <w:rPr>
          <w:rFonts w:ascii="Times New Roman" w:hAnsi="Times New Roman"/>
          <w:b w:val="false"/>
          <w:i w:val="false"/>
          <w:color w:val="000000"/>
          <w:sz w:val="22"/>
        </w:rPr>
        <w:t>, or a head of a major subunit of a regulatory agency whose position involves a substantial exercise of administrative discretion or the expenditure of public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“Regulatory agency” </w:t>
      </w:r>
      <w:r>
        <w:rPr>
          <w:rFonts w:ascii="Times New Roman" w:hAnsi="Times New Roman"/>
          <w:b w:val="false"/>
          <w:i w:val="false"/>
          <w:color w:val="000000"/>
          <w:sz w:val="22"/>
        </w:rPr>
        <w:t>means the department of agriculture and land stewardship, department of workforce development, department of commerce, Iowa department of public health, department of public safety, department of education, state board of regents, department of human services, department of revenue, department of inspections and appeals, department of administrative services, public employment relations board, state department of transportation, civil rights commission, department of public defense, Iowa ethics and campaign disclosure board, and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6.11(2)</w:t>
      </w:r>
      <w:r>
        <w:rPr>
          <w:rFonts w:ascii="Times New Roman" w:hAnsi="Times New Roman"/>
          <w:b w:val="false"/>
          <w:i w:val="false"/>
          <w:color w:val="000000"/>
          <w:sz w:val="22"/>
        </w:rPr>
        <w:t> </w:t>
      </w:r>
      <w:r>
        <w:rPr>
          <w:rFonts w:ascii="Times New Roman" w:hAnsi="Times New Roman"/>
          <w:b w:val="false"/>
          <w:i/>
          <w:color w:val="000000"/>
          <w:sz w:val="22"/>
        </w:rPr>
        <w:t xml:space="preserve">Request for consent. </w:t>
      </w:r>
      <w:r>
        <w:rPr>
          <w:rFonts w:ascii="Times New Roman" w:hAnsi="Times New Roman"/>
          <w:b w:val="false"/>
          <w:i w:val="false"/>
          <w:color w:val="000000"/>
          <w:sz w:val="22"/>
        </w:rPr>
        <w:t>An official’s or employee’s request for an agency’s consent to the sale or lease of goods, real estate, or services shall comply with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request shall be in writing and shall be filed with the official’s or employee’s agency at least 20 calendar days in advance of the proposed sale or lease of any goods, real estate, or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request shall include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of the individual, association, or corporation to which the goods, real estate, or services are to be sold or leased;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relationship of the individual, association, or corporation to the agency;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description of the goods, real estate, or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date or dates that the goods, real estate, or services will be delivered;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by the official or employee explaining how the proposed sale or lease of the goods, real estate, or services will not violate the provisions of Iowa Code section </w:t>
      </w:r>
      <w:hyperlink r:id="rId47">
        <w:r>
          <w:rPr>
            <w:rStyle w:val="Hyperlink"/>
            <w:rFonts w:ascii="Times New Roman" w:hAnsi="Times New Roman"/>
            <w:b w:val="false"/>
            <w:i w:val="false"/>
            <w:color w:val="000000"/>
            <w:sz w:val="22"/>
          </w:rPr>
          <w:t>68B.4</w:t>
        </w:r>
      </w:hyperlink>
      <w:r>
        <w:rPr>
          <w:rFonts w:ascii="Times New Roman" w:hAnsi="Times New Roman"/>
          <w:b w:val="false"/>
          <w:i w:val="false"/>
          <w:color w:val="000000"/>
          <w:sz w:val="22"/>
        </w:rPr>
        <w:t xml:space="preserve"> or create a conflict of interest under Iowa Code section </w:t>
      </w:r>
      <w:hyperlink r:id="rId48">
        <w:r>
          <w:rPr>
            <w:rStyle w:val="Hyperlink"/>
            <w:rFonts w:ascii="Times New Roman" w:hAnsi="Times New Roman"/>
            <w:b w:val="false"/>
            <w:i w:val="false"/>
            <w:color w:val="000000"/>
            <w:sz w:val="22"/>
          </w:rPr>
          <w:t>68B.2A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6.11(3)</w:t>
      </w:r>
      <w:r>
        <w:rPr>
          <w:rFonts w:ascii="Times New Roman" w:hAnsi="Times New Roman"/>
          <w:b w:val="false"/>
          <w:i w:val="false"/>
          <w:color w:val="000000"/>
          <w:sz w:val="22"/>
        </w:rPr>
        <w:t> </w:t>
      </w:r>
      <w:r>
        <w:rPr>
          <w:rFonts w:ascii="Times New Roman" w:hAnsi="Times New Roman"/>
          <w:b w:val="false"/>
          <w:i/>
          <w:color w:val="000000"/>
          <w:sz w:val="22"/>
        </w:rPr>
        <w:t xml:space="preserve">Agency guidelines. </w:t>
      </w:r>
      <w:r>
        <w:rPr>
          <w:rFonts w:ascii="Times New Roman" w:hAnsi="Times New Roman"/>
          <w:b w:val="false"/>
          <w:i w:val="false"/>
          <w:color w:val="000000"/>
          <w:sz w:val="22"/>
        </w:rPr>
        <w:t xml:space="preserve">Iowa Code section </w:t>
      </w:r>
      <w:hyperlink r:id="rId49">
        <w:r>
          <w:rPr>
            <w:rStyle w:val="Hyperlink"/>
            <w:rFonts w:ascii="Times New Roman" w:hAnsi="Times New Roman"/>
            <w:b w:val="false"/>
            <w:i w:val="false"/>
            <w:color w:val="000000"/>
            <w:sz w:val="22"/>
          </w:rPr>
          <w:t>68B.4</w:t>
        </w:r>
      </w:hyperlink>
      <w:r>
        <w:rPr>
          <w:rFonts w:ascii="Times New Roman" w:hAnsi="Times New Roman"/>
          <w:b w:val="false"/>
          <w:i w:val="false"/>
          <w:color w:val="000000"/>
          <w:sz w:val="22"/>
        </w:rPr>
        <w:t xml:space="preserve"> and the guidelines in this subrule shall be the sole legal authorities to be used by an agency in considering the granting of consent. In determining whether to grant consent, the agency shall take the following guidelines into 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official or employee seeking consent is not the person with the authority to determine whether consent should be granted.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duties and functions performed by the official or employee seeking consent are not related to the regulatory authority of the agency over the individual, association, or corporation to which the goods, real estate, or services will be sold or leased.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selling or leasing of the goods, real estate, or services does not affect the official’s or employee’s duties or functions at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selling or leasing of the goods, real estate, or services will not cause the official or employee to advocate on behalf of the individual, association, or corporation to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selling or leasing of the goods, real estate, or services does not cause the official or employee to sell or lease goods, real estate, or services to the agency on behalf of the individual, association, or corporation.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selling or leasing of the goods, real estate, or services will not result in a conflict of interest as provided in Iowa Code section </w:t>
      </w:r>
      <w:hyperlink r:id="rId50">
        <w:r>
          <w:rPr>
            <w:rStyle w:val="Hyperlink"/>
            <w:rFonts w:ascii="Times New Roman" w:hAnsi="Times New Roman"/>
            <w:b w:val="false"/>
            <w:i w:val="false"/>
            <w:color w:val="000000"/>
            <w:sz w:val="22"/>
          </w:rPr>
          <w:t>68B.2A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request complies with the procedural requirements of </w:t>
      </w:r>
      <w:hyperlink r:id="rId51">
        <w:r>
          <w:rPr>
            <w:rStyle w:val="Hyperlink"/>
            <w:rFonts w:ascii="Times New Roman" w:hAnsi="Times New Roman"/>
            <w:b w:val="false"/>
            <w:i w:val="false"/>
            <w:color w:val="000000"/>
            <w:sz w:val="22"/>
          </w:rPr>
          <w:t>subrule </w:t>
        </w:r>
      </w:hyperlink>
      <w:hyperlink r:id="rId52">
        <w:r>
          <w:rPr>
            <w:rStyle w:val="Hyperlink"/>
            <w:rFonts w:ascii="Times New Roman" w:hAnsi="Times New Roman"/>
            <w:b w:val="false"/>
            <w:i w:val="false"/>
            <w:color w:val="000000"/>
            <w:sz w:val="22"/>
          </w:rPr>
          <w:t>6.11(2)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A regulatory agency may grant blanket consent for sales or leases to classes of individuals, associations, or persons when such blanket consent is consistent with </w:t>
      </w:r>
      <w:hyperlink r:id="rId53">
        <w:r>
          <w:rPr>
            <w:rStyle w:val="Hyperlink"/>
            <w:rFonts w:ascii="Times New Roman" w:hAnsi="Times New Roman"/>
            <w:b w:val="false"/>
            <w:i w:val="false"/>
            <w:color w:val="000000"/>
            <w:sz w:val="22"/>
          </w:rPr>
          <w:t>subrule </w:t>
        </w:r>
      </w:hyperlink>
      <w:hyperlink r:id="rId54">
        <w:r>
          <w:rPr>
            <w:rStyle w:val="Hyperlink"/>
            <w:rFonts w:ascii="Times New Roman" w:hAnsi="Times New Roman"/>
            <w:b w:val="false"/>
            <w:i w:val="false"/>
            <w:color w:val="000000"/>
            <w:sz w:val="22"/>
          </w:rPr>
          <w:t>6.11(3)</w:t>
        </w:r>
      </w:hyperlink>
      <w:r>
        <w:rPr>
          <w:rFonts w:ascii="Times New Roman" w:hAnsi="Times New Roman"/>
          <w:b w:val="false"/>
          <w:i w:val="false"/>
          <w:color w:val="000000"/>
          <w:sz w:val="22"/>
        </w:rPr>
        <w:t xml:space="preserve"> and the granting of single consents is impractical or impossible to determine.</w:t>
      </w:r>
    </w:p>
    <w:p>
      <w:pPr>
        <w:spacing w:before="0" w:after="0"/>
        <w:ind w:left="120"/>
        <w:jc w:val="both"/>
      </w:pPr>
      <w:r>
        <w:rPr>
          <w:rFonts w:ascii="Times New Roman" w:hAnsi="Times New Roman"/>
          <w:b w:val="false"/>
          <w:i w:val="false"/>
          <w:color w:val="000000"/>
          <w:sz w:val="22"/>
        </w:rPr>
        <w:t>These guidelines shall be publicized and made known to all personnel throughout the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6.11(4)</w:t>
      </w:r>
      <w:r>
        <w:rPr>
          <w:rFonts w:ascii="Times New Roman" w:hAnsi="Times New Roman"/>
          <w:b w:val="false"/>
          <w:i w:val="false"/>
          <w:color w:val="000000"/>
          <w:sz w:val="22"/>
        </w:rPr>
        <w:t> </w:t>
      </w:r>
      <w:r>
        <w:rPr>
          <w:rFonts w:ascii="Times New Roman" w:hAnsi="Times New Roman"/>
          <w:b w:val="false"/>
          <w:i/>
          <w:color w:val="000000"/>
          <w:sz w:val="22"/>
        </w:rPr>
        <w:t xml:space="preserve">Agency decision. </w:t>
      </w:r>
      <w:r>
        <w:rPr>
          <w:rFonts w:ascii="Times New Roman" w:hAnsi="Times New Roman"/>
          <w:b w:val="false"/>
          <w:i w:val="false"/>
          <w:color w:val="000000"/>
          <w:sz w:val="22"/>
        </w:rPr>
        <w:t>The official’s or employee’s agency shall issue a written consent or denial within 14 calendar days following the date the request was filed. The deadline may be extended by agreement of both the official or employee and the agency. If the request is denied or granted conditionally, the agency shall state the reasons for the denial or conditional consent.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6.11(5)</w:t>
      </w:r>
      <w:r>
        <w:rPr>
          <w:rFonts w:ascii="Times New Roman" w:hAnsi="Times New Roman"/>
          <w:b w:val="false"/>
          <w:i w:val="false"/>
          <w:color w:val="000000"/>
          <w:sz w:val="22"/>
        </w:rPr>
        <w:t> </w:t>
      </w:r>
      <w:r>
        <w:rPr>
          <w:rFonts w:ascii="Times New Roman" w:hAnsi="Times New Roman"/>
          <w:b w:val="false"/>
          <w:i/>
          <w:color w:val="000000"/>
          <w:sz w:val="22"/>
        </w:rPr>
        <w:t xml:space="preserve">Appeal of denial. </w:t>
      </w:r>
      <w:r>
        <w:rPr>
          <w:rFonts w:ascii="Times New Roman" w:hAnsi="Times New Roman"/>
          <w:b w:val="false"/>
          <w:i w:val="false"/>
          <w:color w:val="000000"/>
          <w:sz w:val="22"/>
        </w:rPr>
        <w:t xml:space="preserve">An official or employee who receives a denial or conditional consent may file a request with the board for a contested case proceeding pursuant to </w:t>
      </w:r>
      <w:hyperlink r:id="rId55">
        <w:r>
          <w:rPr>
            <w:rStyle w:val="Hyperlink"/>
            <w:rFonts w:ascii="Times New Roman" w:hAnsi="Times New Roman"/>
            <w:b w:val="false"/>
            <w:i w:val="false"/>
            <w:color w:val="000000"/>
            <w:sz w:val="22"/>
          </w:rPr>
          <w:t>351—Chapter 11</w:t>
        </w:r>
      </w:hyperlink>
      <w:r>
        <w:rPr>
          <w:rFonts w:ascii="Times New Roman" w:hAnsi="Times New Roman"/>
          <w:b w:val="false"/>
          <w:i w:val="false"/>
          <w:color w:val="000000"/>
          <w:sz w:val="22"/>
        </w:rPr>
        <w:t xml:space="preserve"> for a determination of whether the situation described in the request complies with the requirements of Iowa Code section </w:t>
      </w:r>
      <w:hyperlink r:id="rId56">
        <w:r>
          <w:rPr>
            <w:rStyle w:val="Hyperlink"/>
            <w:rFonts w:ascii="Times New Roman" w:hAnsi="Times New Roman"/>
            <w:b w:val="false"/>
            <w:i w:val="false"/>
            <w:color w:val="000000"/>
            <w:sz w:val="22"/>
          </w:rPr>
          <w:t>68B.2A</w:t>
        </w:r>
      </w:hyperlink>
      <w:r>
        <w:rPr>
          <w:rFonts w:ascii="Times New Roman" w:hAnsi="Times New Roman"/>
          <w:b w:val="false"/>
          <w:i w:val="false"/>
          <w:color w:val="000000"/>
          <w:sz w:val="22"/>
        </w:rPr>
        <w:t xml:space="preserve">, Iowa Code section </w:t>
      </w:r>
      <w:hyperlink r:id="rId57">
        <w:r>
          <w:rPr>
            <w:rStyle w:val="Hyperlink"/>
            <w:rFonts w:ascii="Times New Roman" w:hAnsi="Times New Roman"/>
            <w:b w:val="false"/>
            <w:i w:val="false"/>
            <w:color w:val="000000"/>
            <w:sz w:val="22"/>
          </w:rPr>
          <w:t>68B.4</w:t>
        </w:r>
      </w:hyperlink>
      <w:r>
        <w:rPr>
          <w:rFonts w:ascii="Times New Roman" w:hAnsi="Times New Roman"/>
          <w:b w:val="false"/>
          <w:i w:val="false"/>
          <w:color w:val="000000"/>
          <w:sz w:val="22"/>
        </w:rPr>
        <w:t xml:space="preserve"> and this rule. The final order of the board constitutes final agency action for purposes of seeking judicial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6.11(6)</w:t>
      </w:r>
      <w:r>
        <w:rPr>
          <w:rFonts w:ascii="Times New Roman" w:hAnsi="Times New Roman"/>
          <w:b w:val="false"/>
          <w:i w:val="false"/>
          <w:color w:val="000000"/>
          <w:sz w:val="22"/>
        </w:rPr>
        <w:t> </w:t>
      </w:r>
      <w:r>
        <w:rPr>
          <w:rFonts w:ascii="Times New Roman" w:hAnsi="Times New Roman"/>
          <w:b w:val="false"/>
          <w:i/>
          <w:color w:val="000000"/>
          <w:sz w:val="22"/>
        </w:rPr>
        <w:t xml:space="preserve">Copy of consent filed with board. </w:t>
      </w:r>
      <w:r>
        <w:rPr>
          <w:rFonts w:ascii="Times New Roman" w:hAnsi="Times New Roman"/>
          <w:b w:val="false"/>
          <w:i w:val="false"/>
          <w:color w:val="000000"/>
          <w:sz w:val="22"/>
        </w:rPr>
        <w:t xml:space="preserve">Pursuant to Iowa Code section </w:t>
      </w:r>
      <w:hyperlink r:id="rId58">
        <w:r>
          <w:rPr>
            <w:rStyle w:val="Hyperlink"/>
            <w:rFonts w:ascii="Times New Roman" w:hAnsi="Times New Roman"/>
            <w:b w:val="false"/>
            <w:i w:val="false"/>
            <w:color w:val="000000"/>
            <w:sz w:val="22"/>
          </w:rPr>
          <w:t>68B.4</w:t>
        </w:r>
      </w:hyperlink>
      <w:r>
        <w:rPr>
          <w:rFonts w:ascii="Times New Roman" w:hAnsi="Times New Roman"/>
          <w:b w:val="false"/>
          <w:i w:val="false"/>
          <w:color w:val="000000"/>
          <w:sz w:val="22"/>
        </w:rPr>
        <w:t>, an agency granting consent shall file a copy of the consent with the board within 20 days of the granting of consent. The board shall treat the consent as a public record. The failure to provide a copy of the consent may result in the imposition of board sanctions against the individual who granted the consent.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6.11(7)</w:t>
      </w:r>
      <w:r>
        <w:rPr>
          <w:rFonts w:ascii="Times New Roman" w:hAnsi="Times New Roman"/>
          <w:b w:val="false"/>
          <w:i w:val="false"/>
          <w:color w:val="000000"/>
          <w:sz w:val="22"/>
        </w:rPr>
        <w:t> </w:t>
      </w:r>
      <w:r>
        <w:rPr>
          <w:rFonts w:ascii="Times New Roman" w:hAnsi="Times New Roman"/>
          <w:b w:val="false"/>
          <w:i/>
          <w:color w:val="000000"/>
          <w:sz w:val="22"/>
        </w:rPr>
        <w:t xml:space="preserve">Consent not a defense. </w:t>
      </w:r>
      <w:r>
        <w:rPr>
          <w:rFonts w:ascii="Times New Roman" w:hAnsi="Times New Roman"/>
          <w:b w:val="false"/>
          <w:i w:val="false"/>
          <w:color w:val="000000"/>
          <w:sz w:val="22"/>
        </w:rPr>
        <w:t>Consent granted by an agency under this rule shall not constitute a defense to a complaint alleging a violation of any law or rule. It is the responsibility of the official or employee to ensure compliance with all applicable laws and rules.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9">
        <w:r>
          <w:rPr>
            <w:rStyle w:val="Hyperlink"/>
            <w:rFonts w:ascii="Times New Roman" w:hAnsi="Times New Roman"/>
            <w:b w:val="false"/>
            <w:i w:val="false"/>
            <w:color w:val="000000"/>
            <w:sz w:val="22"/>
          </w:rPr>
          <w:t>68B.4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4/8/09</w:t>
      </w:r>
      <w:r>
        <w:rPr>
          <w:rFonts w:ascii="Times New Roman" w:hAnsi="Times New Roman"/>
          <w:b w:val="false"/>
          <w:i w:val="false"/>
          <w:color w:val="000000"/>
          <w:sz w:val="16"/>
        </w:rPr>
        <w:t xml:space="preserve">; </w:t>
      </w:r>
      <w:r>
        <w:rPr>
          <w:rFonts w:ascii="Times New Roman" w:hAnsi="Times New Roman"/>
          <w:b/>
          <w:i w:val="false"/>
          <w:color w:val="000000"/>
          <w:sz w:val="16"/>
        </w:rPr>
        <w:t>ARC 6084C</w:t>
      </w:r>
      <w:r>
        <w:rPr>
          <w:rFonts w:ascii="Times New Roman" w:hAnsi="Times New Roman"/>
          <w:b w:val="false"/>
          <w:i w:val="false"/>
          <w:color w:val="000000"/>
          <w:sz w:val="16"/>
        </w:rPr>
        <w:t>, IAB 12/15/21, effective 2/1/22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351—6.12</w:t>
      </w:r>
      <w:r>
        <w:rPr>
          <w:rFonts w:ascii="Times New Roman" w:hAnsi="Times New Roman"/>
          <w:b/>
          <w:i w:val="false"/>
          <w:color w:val="000000"/>
          <w:sz w:val="22"/>
        </w:rPr>
        <w:t xml:space="preserve">(68B) </w:t>
      </w:r>
      <w:r>
        <w:rPr>
          <w:rFonts w:ascii="Times New Roman" w:hAnsi="Times New Roman"/>
          <w:b/>
          <w:i w:val="false"/>
          <w:color w:val="000000"/>
          <w:sz w:val="22"/>
        </w:rPr>
        <w:t xml:space="preserve">Sales or leases by members of the office of the governor. </w:t>
      </w:r>
      <w:r>
        <w:rPr>
          <w:rFonts w:ascii="Times New Roman" w:hAnsi="Times New Roman"/>
          <w:b w:val="false"/>
          <w:i w:val="false"/>
          <w:color w:val="000000"/>
          <w:sz w:val="22"/>
        </w:rPr>
        <w:t xml:space="preserve">A permanent full-time member of the office of the governor shall not directly or indirectly sell or lease any goods or services to registered lobbyists before the general assembly or the executive branch or to individuals, associations, or corporations that employ persons who are registered lobbyists before the general assembly or the executive branch except as provided in Iowa Code section </w:t>
      </w:r>
      <w:hyperlink r:id="rId60">
        <w:r>
          <w:rPr>
            <w:rStyle w:val="Hyperlink"/>
            <w:rFonts w:ascii="Times New Roman" w:hAnsi="Times New Roman"/>
            <w:b w:val="false"/>
            <w:i w:val="false"/>
            <w:color w:val="000000"/>
            <w:sz w:val="22"/>
          </w:rPr>
          <w:t>68B.4B</w:t>
        </w:r>
      </w:hyperlink>
      <w:r>
        <w:rPr>
          <w:rFonts w:ascii="Times New Roman" w:hAnsi="Times New Roman"/>
          <w:b w:val="false"/>
          <w:i w:val="false"/>
          <w:color w:val="000000"/>
          <w:sz w:val="22"/>
        </w:rPr>
        <w:t xml:space="preserve"> and this rule. This prohibition does not apply to sales or leases that are part of the member’s state duties.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6.12(1)</w:t>
      </w:r>
      <w:r>
        <w:rPr>
          <w:rFonts w:ascii="Times New Roman" w:hAnsi="Times New Roman"/>
          <w:b w:val="false"/>
          <w:i w:val="false"/>
          <w:color w:val="000000"/>
          <w:sz w:val="22"/>
        </w:rPr>
        <w:t> </w:t>
      </w:r>
      <w:r>
        <w:rPr>
          <w:rFonts w:ascii="Times New Roman" w:hAnsi="Times New Roman"/>
          <w:b w:val="false"/>
          <w:i/>
          <w:color w:val="000000"/>
          <w:sz w:val="22"/>
        </w:rPr>
        <w:t xml:space="preserve">Request for consent. </w:t>
      </w:r>
      <w:r>
        <w:rPr>
          <w:rFonts w:ascii="Times New Roman" w:hAnsi="Times New Roman"/>
          <w:b w:val="false"/>
          <w:i w:val="false"/>
          <w:color w:val="000000"/>
          <w:sz w:val="22"/>
        </w:rPr>
        <w:t>A request submitted by a member of the office of the governor for consent to sell or lease goods or services shall comply with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request shall be in writing and shall be filed at least 20 calendar days in advance of the proposed sale or lease of any goods or services with the person responsible for hiring or approving the hiring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request shall include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of the lobbyist, individual, association, or corporation to which the goods or services are to be sold or leased;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relationship of the lobbyist, individual, association, or corporation to the office of the governor;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description of the goods or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date or dates that the goods or services will be delivered;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by the member explaining how the proposed sale or lease of the goods or services will not violate the provisions of Iowa Code section </w:t>
      </w:r>
      <w:hyperlink r:id="rId61">
        <w:r>
          <w:rPr>
            <w:rStyle w:val="Hyperlink"/>
            <w:rFonts w:ascii="Times New Roman" w:hAnsi="Times New Roman"/>
            <w:b w:val="false"/>
            <w:i w:val="false"/>
            <w:color w:val="000000"/>
            <w:sz w:val="22"/>
          </w:rPr>
          <w:t>68B.4B</w:t>
        </w:r>
      </w:hyperlink>
      <w:r>
        <w:rPr>
          <w:rFonts w:ascii="Times New Roman" w:hAnsi="Times New Roman"/>
          <w:b w:val="false"/>
          <w:i w:val="false"/>
          <w:color w:val="000000"/>
          <w:sz w:val="22"/>
        </w:rPr>
        <w:t xml:space="preserve"> or create a conflict of interest under Iowa Code section </w:t>
      </w:r>
      <w:hyperlink r:id="rId62">
        <w:r>
          <w:rPr>
            <w:rStyle w:val="Hyperlink"/>
            <w:rFonts w:ascii="Times New Roman" w:hAnsi="Times New Roman"/>
            <w:b w:val="false"/>
            <w:i w:val="false"/>
            <w:color w:val="000000"/>
            <w:sz w:val="22"/>
          </w:rPr>
          <w:t>68B.2A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6.12(2)</w:t>
      </w:r>
      <w:r>
        <w:rPr>
          <w:rFonts w:ascii="Times New Roman" w:hAnsi="Times New Roman"/>
          <w:b w:val="false"/>
          <w:i w:val="false"/>
          <w:color w:val="000000"/>
          <w:sz w:val="22"/>
        </w:rPr>
        <w:t> </w:t>
      </w:r>
      <w:r>
        <w:rPr>
          <w:rFonts w:ascii="Times New Roman" w:hAnsi="Times New Roman"/>
          <w:b w:val="false"/>
          <w:i/>
          <w:color w:val="000000"/>
          <w:sz w:val="22"/>
        </w:rPr>
        <w:t xml:space="preserve">Guidelines for granting consent. </w:t>
      </w:r>
      <w:r>
        <w:rPr>
          <w:rFonts w:ascii="Times New Roman" w:hAnsi="Times New Roman"/>
          <w:b w:val="false"/>
          <w:i w:val="false"/>
          <w:color w:val="000000"/>
          <w:sz w:val="22"/>
        </w:rPr>
        <w:t>In determining whether to grant consent, the person responsible for hiring or approving the hiring of the member shall take the following guidelines into 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duties and functions performed by the member are not related to the authority of the office of the governor over the lobbyist, individual, association, or corporation.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selling or leasing of goods or services by the member to the lobbyist, individual, association, or corporation does not affect the member’s duties or functions at the office of the governor.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selling or leasing of any goods or services by the member to a lobbyist, individual, association, or corporation does not include lobbying the office of the governor.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selling or leasing of any goods or services by the member does not cause the member to sell or lease goods or services to the office of the governor on behalf of the lobbyist, individual, association, or corporation.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selling or leasing of the goods or services will not result in a conflict of interest as provided in Iowa Code section </w:t>
      </w:r>
      <w:hyperlink r:id="rId63">
        <w:r>
          <w:rPr>
            <w:rStyle w:val="Hyperlink"/>
            <w:rFonts w:ascii="Times New Roman" w:hAnsi="Times New Roman"/>
            <w:b w:val="false"/>
            <w:i w:val="false"/>
            <w:color w:val="000000"/>
            <w:sz w:val="22"/>
          </w:rPr>
          <w:t>68B.2A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request complies with the procedural requirements of </w:t>
      </w:r>
      <w:hyperlink r:id="rId64">
        <w:r>
          <w:rPr>
            <w:rStyle w:val="Hyperlink"/>
            <w:rFonts w:ascii="Times New Roman" w:hAnsi="Times New Roman"/>
            <w:b w:val="false"/>
            <w:i w:val="false"/>
            <w:color w:val="000000"/>
            <w:sz w:val="22"/>
          </w:rPr>
          <w:t>subrule 6.12(1)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 blanket consent may be granted for sales or leases to classes of lobbyists, individuals, associations, or corporations when such blanket consent is consistent with </w:t>
      </w:r>
      <w:hyperlink r:id="rId65">
        <w:r>
          <w:rPr>
            <w:rStyle w:val="Hyperlink"/>
            <w:rFonts w:ascii="Times New Roman" w:hAnsi="Times New Roman"/>
            <w:b w:val="false"/>
            <w:i w:val="false"/>
            <w:color w:val="000000"/>
            <w:sz w:val="22"/>
          </w:rPr>
          <w:t>subrule 6.12(2)</w:t>
        </w:r>
      </w:hyperlink>
      <w:r>
        <w:rPr>
          <w:rFonts w:ascii="Times New Roman" w:hAnsi="Times New Roman"/>
          <w:b w:val="false"/>
          <w:i w:val="false"/>
          <w:color w:val="000000"/>
          <w:sz w:val="22"/>
        </w:rPr>
        <w:t xml:space="preserve"> and the granting of single consents is impractical or impossible to determine.</w:t>
      </w:r>
    </w:p>
    <w:p>
      <w:pPr>
        <w:spacing w:before="0" w:after="0"/>
        <w:ind w:left="120"/>
        <w:jc w:val="both"/>
      </w:pPr>
      <w:r>
        <w:rPr>
          <w:rFonts w:ascii="Times New Roman" w:hAnsi="Times New Roman"/>
          <w:b w:val="false"/>
          <w:i w:val="false"/>
          <w:color w:val="000000"/>
          <w:sz w:val="22"/>
        </w:rPr>
        <w:t>These guidelines shall be publicized and made known to members of the office of the governor.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6.12(3)</w:t>
      </w:r>
      <w:r>
        <w:rPr>
          <w:rFonts w:ascii="Times New Roman" w:hAnsi="Times New Roman"/>
          <w:b w:val="false"/>
          <w:i w:val="false"/>
          <w:color w:val="000000"/>
          <w:sz w:val="22"/>
        </w:rPr>
        <w:t> </w:t>
      </w:r>
      <w:r>
        <w:rPr>
          <w:rFonts w:ascii="Times New Roman" w:hAnsi="Times New Roman"/>
          <w:b w:val="false"/>
          <w:i/>
          <w:color w:val="000000"/>
          <w:sz w:val="22"/>
        </w:rPr>
        <w:t xml:space="preserve">Decision. </w:t>
      </w:r>
      <w:r>
        <w:rPr>
          <w:rFonts w:ascii="Times New Roman" w:hAnsi="Times New Roman"/>
          <w:b w:val="false"/>
          <w:i w:val="false"/>
          <w:color w:val="000000"/>
          <w:sz w:val="22"/>
        </w:rPr>
        <w:t>The person responsible for hiring or approving the hiring of the member shall issue a written consent or denial within 14 calendar days following the date the request was filed. The deadline may be extended by agreement of both the member and the person. If the request is denied, the person shall state the reasons for the denial.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6.12(4)</w:t>
      </w:r>
      <w:r>
        <w:rPr>
          <w:rFonts w:ascii="Times New Roman" w:hAnsi="Times New Roman"/>
          <w:b w:val="false"/>
          <w:i w:val="false"/>
          <w:color w:val="000000"/>
          <w:sz w:val="22"/>
        </w:rPr>
        <w:t> </w:t>
      </w:r>
      <w:r>
        <w:rPr>
          <w:rFonts w:ascii="Times New Roman" w:hAnsi="Times New Roman"/>
          <w:b w:val="false"/>
          <w:i/>
          <w:color w:val="000000"/>
          <w:sz w:val="22"/>
        </w:rPr>
        <w:t xml:space="preserve">Appeal of denial. </w:t>
      </w:r>
      <w:r>
        <w:rPr>
          <w:rFonts w:ascii="Times New Roman" w:hAnsi="Times New Roman"/>
          <w:b w:val="false"/>
          <w:i w:val="false"/>
          <w:color w:val="000000"/>
          <w:sz w:val="22"/>
        </w:rPr>
        <w:t xml:space="preserve">A member who receives a denial may file a request with the board for a contested case proceeding pursuant to </w:t>
      </w:r>
      <w:hyperlink r:id="rId66">
        <w:r>
          <w:rPr>
            <w:rStyle w:val="Hyperlink"/>
            <w:rFonts w:ascii="Times New Roman" w:hAnsi="Times New Roman"/>
            <w:b w:val="false"/>
            <w:i w:val="false"/>
            <w:color w:val="000000"/>
            <w:sz w:val="22"/>
          </w:rPr>
          <w:t>351—Chapter 11</w:t>
        </w:r>
      </w:hyperlink>
      <w:r>
        <w:rPr>
          <w:rFonts w:ascii="Times New Roman" w:hAnsi="Times New Roman"/>
          <w:b w:val="false"/>
          <w:i w:val="false"/>
          <w:color w:val="000000"/>
          <w:sz w:val="22"/>
        </w:rPr>
        <w:t xml:space="preserve"> for a determination of whether the situation described in the request complies with the requirements of Iowa Code section </w:t>
      </w:r>
      <w:hyperlink r:id="rId67">
        <w:r>
          <w:rPr>
            <w:rStyle w:val="Hyperlink"/>
            <w:rFonts w:ascii="Times New Roman" w:hAnsi="Times New Roman"/>
            <w:b w:val="false"/>
            <w:i w:val="false"/>
            <w:color w:val="000000"/>
            <w:sz w:val="22"/>
          </w:rPr>
          <w:t>68B.2A</w:t>
        </w:r>
      </w:hyperlink>
      <w:r>
        <w:rPr>
          <w:rFonts w:ascii="Times New Roman" w:hAnsi="Times New Roman"/>
          <w:b w:val="false"/>
          <w:i w:val="false"/>
          <w:color w:val="000000"/>
          <w:sz w:val="22"/>
        </w:rPr>
        <w:t xml:space="preserve">, Iowa Code section </w:t>
      </w:r>
      <w:hyperlink r:id="rId68">
        <w:r>
          <w:rPr>
            <w:rStyle w:val="Hyperlink"/>
            <w:rFonts w:ascii="Times New Roman" w:hAnsi="Times New Roman"/>
            <w:b w:val="false"/>
            <w:i w:val="false"/>
            <w:color w:val="000000"/>
            <w:sz w:val="22"/>
          </w:rPr>
          <w:t>68B.4B</w:t>
        </w:r>
      </w:hyperlink>
      <w:r>
        <w:rPr>
          <w:rFonts w:ascii="Times New Roman" w:hAnsi="Times New Roman"/>
          <w:b w:val="false"/>
          <w:i w:val="false"/>
          <w:color w:val="000000"/>
          <w:sz w:val="22"/>
        </w:rPr>
        <w:t xml:space="preserve"> and this rule. The final order of the board constitutes final agency action for purposes of seeking judicial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6.12(5)</w:t>
      </w:r>
      <w:r>
        <w:rPr>
          <w:rFonts w:ascii="Times New Roman" w:hAnsi="Times New Roman"/>
          <w:b w:val="false"/>
          <w:i w:val="false"/>
          <w:color w:val="000000"/>
          <w:sz w:val="22"/>
        </w:rPr>
        <w:t> </w:t>
      </w:r>
      <w:r>
        <w:rPr>
          <w:rFonts w:ascii="Times New Roman" w:hAnsi="Times New Roman"/>
          <w:b w:val="false"/>
          <w:i/>
          <w:color w:val="000000"/>
          <w:sz w:val="22"/>
        </w:rPr>
        <w:t xml:space="preserve">Copy of consent filed with board. </w:t>
      </w:r>
      <w:r>
        <w:rPr>
          <w:rFonts w:ascii="Times New Roman" w:hAnsi="Times New Roman"/>
          <w:b w:val="false"/>
          <w:i w:val="false"/>
          <w:color w:val="000000"/>
          <w:sz w:val="22"/>
        </w:rPr>
        <w:t xml:space="preserve">Pursuant to Iowa Code section </w:t>
      </w:r>
      <w:hyperlink r:id="rId69">
        <w:r>
          <w:rPr>
            <w:rStyle w:val="Hyperlink"/>
            <w:rFonts w:ascii="Times New Roman" w:hAnsi="Times New Roman"/>
            <w:b w:val="false"/>
            <w:i w:val="false"/>
            <w:color w:val="000000"/>
            <w:sz w:val="22"/>
          </w:rPr>
          <w:t>68B.4B</w:t>
        </w:r>
      </w:hyperlink>
      <w:r>
        <w:rPr>
          <w:rFonts w:ascii="Times New Roman" w:hAnsi="Times New Roman"/>
          <w:b w:val="false"/>
          <w:i w:val="false"/>
          <w:color w:val="000000"/>
          <w:sz w:val="22"/>
        </w:rPr>
        <w:t>, a copy of the consent granted to a member shall be filed with the board within 20 days of the granting of consent. The board shall treat the consent as a public record. The failure to provide a copy of the consent may result in the imposition of board sanctions against the person who granted the consent.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6.12(6)</w:t>
      </w:r>
      <w:r>
        <w:rPr>
          <w:rFonts w:ascii="Times New Roman" w:hAnsi="Times New Roman"/>
          <w:b w:val="false"/>
          <w:i w:val="false"/>
          <w:color w:val="000000"/>
          <w:sz w:val="22"/>
        </w:rPr>
        <w:t> </w:t>
      </w:r>
      <w:r>
        <w:rPr>
          <w:rFonts w:ascii="Times New Roman" w:hAnsi="Times New Roman"/>
          <w:b w:val="false"/>
          <w:i/>
          <w:color w:val="000000"/>
          <w:sz w:val="22"/>
        </w:rPr>
        <w:t xml:space="preserve">Consent not a defense. </w:t>
      </w:r>
      <w:r>
        <w:rPr>
          <w:rFonts w:ascii="Times New Roman" w:hAnsi="Times New Roman"/>
          <w:b w:val="false"/>
          <w:i w:val="false"/>
          <w:color w:val="000000"/>
          <w:sz w:val="22"/>
        </w:rPr>
        <w:t>Consent granted under this rule shall not constitute a defense to a complaint alleging a violation of any law or rule. It is the responsibility of the member of the office of the governor to ensure compliance with all applicable laws and rules.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0">
        <w:r>
          <w:rPr>
            <w:rStyle w:val="Hyperlink"/>
            <w:rFonts w:ascii="Times New Roman" w:hAnsi="Times New Roman"/>
            <w:b w:val="false"/>
            <w:i w:val="false"/>
            <w:color w:val="000000"/>
            <w:sz w:val="22"/>
          </w:rPr>
          <w:t>68B.4B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4/8/09</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DIVISION IV</w:t>
      </w:r>
    </w:p>
    <w:p>
      <w:pPr>
        <w:pBdr>
          <w:bottom w:space="10"/>
        </w:pBdr>
        <w:spacing w:before="0" w:after="0"/>
        <w:ind w:left="120"/>
        <w:jc w:val="center"/>
      </w:pPr>
      <w:r>
        <w:rPr>
          <w:rFonts w:ascii="Times New Roman" w:hAnsi="Times New Roman"/>
          <w:b w:val="false"/>
          <w:i w:val="false"/>
          <w:color w:val="000000"/>
          <w:sz w:val="16"/>
        </w:rPr>
        <w:t>EMPLOYMENT RESTRICTIONS</w:t>
      </w:r>
    </w:p>
    <w:p>
      <w:pPr>
        <w:spacing w:before="210" w:after="0"/>
        <w:ind w:left="120"/>
        <w:jc w:val="both"/>
      </w:pPr>
      <w:r>
        <w:rPr>
          <w:rFonts w:ascii="Times New Roman" w:hAnsi="Times New Roman"/>
          <w:b/>
          <w:i w:val="false"/>
          <w:color w:val="000000"/>
          <w:sz w:val="22"/>
        </w:rPr>
        <w:t>351—6.13</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351—6.14</w:t>
      </w:r>
      <w:r>
        <w:rPr>
          <w:rFonts w:ascii="Times New Roman" w:hAnsi="Times New Roman"/>
          <w:b/>
          <w:i w:val="false"/>
          <w:color w:val="000000"/>
          <w:sz w:val="22"/>
        </w:rPr>
        <w:t xml:space="preserve">(68B) </w:t>
      </w:r>
      <w:r>
        <w:rPr>
          <w:rFonts w:ascii="Times New Roman" w:hAnsi="Times New Roman"/>
          <w:b/>
          <w:i w:val="false"/>
          <w:color w:val="000000"/>
          <w:sz w:val="22"/>
        </w:rPr>
        <w:t xml:space="preserve">Engaging in services against the interest of the state prohibited. </w:t>
      </w:r>
      <w:r>
        <w:rPr>
          <w:rFonts w:ascii="Times New Roman" w:hAnsi="Times New Roman"/>
          <w:b w:val="false"/>
          <w:i w:val="false"/>
          <w:color w:val="000000"/>
          <w:sz w:val="22"/>
        </w:rPr>
        <w:t xml:space="preserve">Except for a member of a board or commission, no official or employee shall receive compensation in any form, or enter into any type of agreement to receive compensation in any form, to appear on behalf of any person or otherwise render services against the interest of the state except as set out in Iowa Code section </w:t>
      </w:r>
      <w:hyperlink r:id="rId71">
        <w:r>
          <w:rPr>
            <w:rStyle w:val="Hyperlink"/>
            <w:rFonts w:ascii="Times New Roman" w:hAnsi="Times New Roman"/>
            <w:b w:val="false"/>
            <w:i w:val="false"/>
            <w:color w:val="000000"/>
            <w:sz w:val="22"/>
          </w:rPr>
          <w:t>68B.6</w:t>
        </w:r>
      </w:hyperlink>
      <w:r>
        <w:rPr>
          <w:rFonts w:ascii="Times New Roman" w:hAnsi="Times New Roman"/>
          <w:b w:val="false"/>
          <w:i w:val="false"/>
          <w:color w:val="000000"/>
          <w:sz w:val="22"/>
        </w:rPr>
        <w:t xml:space="preserve"> and this rule. This prohibition relates to any case, proceeding, application, or other matter before any federal court, federal bureau, federal agency, federal commission, federal department, any agency of state government, or any court of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6.14(1)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purposes of this rule,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a policy-making body that has the power to hear contested cases or a policy-making body that has powers for both rule making and hearing contested cases.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 </w:t>
      </w:r>
      <w:r>
        <w:rPr>
          <w:rFonts w:ascii="Times New Roman" w:hAnsi="Times New Roman"/>
          <w:b w:val="false"/>
          <w:i w:val="false"/>
          <w:color w:val="000000"/>
          <w:sz w:val="22"/>
        </w:rPr>
        <w:t>means a policy-making body that has rule-making powers.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6.14(2)</w:t>
      </w:r>
      <w:r>
        <w:rPr>
          <w:rFonts w:ascii="Times New Roman" w:hAnsi="Times New Roman"/>
          <w:b w:val="false"/>
          <w:i w:val="false"/>
          <w:color w:val="000000"/>
          <w:sz w:val="22"/>
        </w:rPr>
        <w:t> </w:t>
      </w:r>
      <w:r>
        <w:rPr>
          <w:rFonts w:ascii="Times New Roman" w:hAnsi="Times New Roman"/>
          <w:b w:val="false"/>
          <w:i/>
          <w:color w:val="000000"/>
          <w:sz w:val="22"/>
        </w:rPr>
        <w:t xml:space="preserve">Member of board or commission. </w:t>
      </w:r>
      <w:r>
        <w:rPr>
          <w:rFonts w:ascii="Times New Roman" w:hAnsi="Times New Roman"/>
          <w:b w:val="false"/>
          <w:i w:val="false"/>
          <w:color w:val="000000"/>
          <w:sz w:val="22"/>
        </w:rPr>
        <w:t>No member of a board or commission shall receive compensation in any form, or enter into any type of agreement to receive compensation in any form, to appear on behalf of any person or otherwise render services against the interest of the state in relation to any case, proceeding, application, or other matter before the subunit of a state agency in which the member serves or is employed, or with which the member has substantial and regular contact as part of the member’s state duties.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6.14(3)</w:t>
      </w:r>
      <w:r>
        <w:rPr>
          <w:rFonts w:ascii="Times New Roman" w:hAnsi="Times New Roman"/>
          <w:b w:val="false"/>
          <w:i w:val="false"/>
          <w:color w:val="000000"/>
          <w:sz w:val="22"/>
        </w:rPr>
        <w:t> </w:t>
      </w:r>
      <w:r>
        <w:rPr>
          <w:rFonts w:ascii="Times New Roman" w:hAnsi="Times New Roman"/>
          <w:b w:val="false"/>
          <w:i/>
          <w:color w:val="000000"/>
          <w:sz w:val="22"/>
        </w:rPr>
        <w:t xml:space="preserve">Exception for attorney general and public defender. </w:t>
      </w:r>
      <w:r>
        <w:rPr>
          <w:rFonts w:ascii="Times New Roman" w:hAnsi="Times New Roman"/>
          <w:b w:val="false"/>
          <w:i w:val="false"/>
          <w:color w:val="000000"/>
          <w:sz w:val="22"/>
        </w:rPr>
        <w:t xml:space="preserve">As provided in </w:t>
      </w:r>
      <w:r>
        <w:rPr>
          <w:rFonts w:ascii="Times New Roman" w:hAnsi="Times New Roman"/>
          <w:b w:val="false"/>
          <w:i w:val="false"/>
          <w:color w:val="000000"/>
          <w:sz w:val="22"/>
        </w:rPr>
        <w:t>2004 Iowa Acts, Senate File 2179</w:t>
      </w:r>
      <w:r>
        <w:rPr>
          <w:rFonts w:ascii="Times New Roman" w:hAnsi="Times New Roman"/>
          <w:b w:val="false"/>
          <w:i w:val="false"/>
          <w:color w:val="000000"/>
          <w:sz w:val="22"/>
        </w:rPr>
        <w:t xml:space="preserve">, sections 1 and 2, officials and employees carrying out the official duties of the office of the attorney general or the office of the state public defender are not subject to the provisions of Iowa Code section </w:t>
      </w:r>
      <w:hyperlink r:id="rId72">
        <w:r>
          <w:rPr>
            <w:rStyle w:val="Hyperlink"/>
            <w:rFonts w:ascii="Times New Roman" w:hAnsi="Times New Roman"/>
            <w:b w:val="false"/>
            <w:i w:val="false"/>
            <w:color w:val="000000"/>
            <w:sz w:val="22"/>
          </w:rPr>
          <w:t>68B.6</w:t>
        </w:r>
      </w:hyperlink>
      <w:r>
        <w:rPr>
          <w:rFonts w:ascii="Times New Roman" w:hAnsi="Times New Roman"/>
          <w:b w:val="false"/>
          <w:i w:val="false"/>
          <w:color w:val="000000"/>
          <w:sz w:val="22"/>
        </w:rPr>
        <w:t xml:space="preserve"> or this rule.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3">
        <w:r>
          <w:rPr>
            <w:rStyle w:val="Hyperlink"/>
            <w:rFonts w:ascii="Times New Roman" w:hAnsi="Times New Roman"/>
            <w:b w:val="false"/>
            <w:i w:val="false"/>
            <w:color w:val="000000"/>
            <w:sz w:val="22"/>
          </w:rPr>
          <w:t>68B.6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4/8/09</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351—6.15</w:t>
      </w:r>
      <w:r>
        <w:rPr>
          <w:rFonts w:ascii="Times New Roman" w:hAnsi="Times New Roman"/>
          <w:b w:val="false"/>
          <w:i w:val="false"/>
          <w:color w:val="000000"/>
          <w:sz w:val="22"/>
        </w:rPr>
        <w:t xml:space="preserve"> to </w:t>
      </w:r>
      <w:r>
        <w:rPr>
          <w:rFonts w:ascii="Times New Roman" w:hAnsi="Times New Roman"/>
          <w:b/>
          <w:i w:val="false"/>
          <w:color w:val="000000"/>
          <w:sz w:val="22"/>
        </w:rPr>
        <w:t>6.18</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V</w:t>
      </w:r>
    </w:p>
    <w:p>
      <w:pPr>
        <w:pBdr>
          <w:bottom w:space="10"/>
        </w:pBdr>
        <w:spacing w:before="0" w:after="0"/>
        <w:ind w:left="120"/>
        <w:jc w:val="center"/>
      </w:pPr>
      <w:r>
        <w:rPr>
          <w:rFonts w:ascii="Times New Roman" w:hAnsi="Times New Roman"/>
          <w:b w:val="false"/>
          <w:i w:val="false"/>
          <w:color w:val="000000"/>
          <w:sz w:val="16"/>
        </w:rPr>
        <w:t>GIFTS AND OFFERS</w:t>
      </w:r>
    </w:p>
    <w:p>
      <w:pPr>
        <w:spacing w:before="0" w:after="0"/>
        <w:ind w:left="120"/>
        <w:jc w:val="both"/>
      </w:pPr>
      <w:r>
        <w:rPr>
          <w:rFonts w:ascii="Times New Roman" w:hAnsi="Times New Roman"/>
          <w:b/>
          <w:i w:val="false"/>
          <w:color w:val="000000"/>
          <w:sz w:val="22"/>
        </w:rPr>
        <w:t>351—6.19</w:t>
      </w:r>
      <w:r>
        <w:rPr>
          <w:rFonts w:ascii="Times New Roman" w:hAnsi="Times New Roman"/>
          <w:b/>
          <w:i w:val="false"/>
          <w:color w:val="000000"/>
          <w:sz w:val="22"/>
        </w:rPr>
        <w:t xml:space="preserve">(68B) </w:t>
      </w:r>
      <w:r>
        <w:rPr>
          <w:rFonts w:ascii="Times New Roman" w:hAnsi="Times New Roman"/>
          <w:b/>
          <w:i w:val="false"/>
          <w:color w:val="000000"/>
          <w:sz w:val="22"/>
        </w:rPr>
        <w:t xml:space="preserve">Prohibition on receipt of an honorarium. </w:t>
      </w:r>
      <w:r>
        <w:rPr>
          <w:rFonts w:ascii="Times New Roman" w:hAnsi="Times New Roman"/>
          <w:b w:val="false"/>
          <w:i w:val="false"/>
          <w:color w:val="000000"/>
          <w:sz w:val="22"/>
        </w:rPr>
        <w:t xml:space="preserve">Pursuant to Iowa Code section </w:t>
      </w:r>
      <w:hyperlink r:id="rId74">
        <w:r>
          <w:rPr>
            <w:rStyle w:val="Hyperlink"/>
            <w:rFonts w:ascii="Times New Roman" w:hAnsi="Times New Roman"/>
            <w:b w:val="false"/>
            <w:i w:val="false"/>
            <w:color w:val="000000"/>
            <w:sz w:val="22"/>
          </w:rPr>
          <w:t>68B.23</w:t>
        </w:r>
      </w:hyperlink>
      <w:r>
        <w:rPr>
          <w:rFonts w:ascii="Times New Roman" w:hAnsi="Times New Roman"/>
          <w:b w:val="false"/>
          <w:i w:val="false"/>
          <w:color w:val="000000"/>
          <w:sz w:val="22"/>
        </w:rPr>
        <w:t>, an official or employee shall not accept an honorarium from a restricted donor.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6.19(1)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purposes of this rule,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“Honorarium” </w:t>
      </w:r>
      <w:r>
        <w:rPr>
          <w:rFonts w:ascii="Times New Roman" w:hAnsi="Times New Roman"/>
          <w:b w:val="false"/>
          <w:i w:val="false"/>
          <w:color w:val="000000"/>
          <w:sz w:val="22"/>
        </w:rPr>
        <w:t>means a payment of compensation or the giving of anything of value to an official or employee in relation to a speaking engagement.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“Restricted donor” </w:t>
      </w:r>
      <w:r>
        <w:rPr>
          <w:rFonts w:ascii="Times New Roman" w:hAnsi="Times New Roman"/>
          <w:b w:val="false"/>
          <w:i w:val="false"/>
          <w:color w:val="000000"/>
          <w:sz w:val="22"/>
        </w:rPr>
        <w:t xml:space="preserve">means a person as defined in Iowa Code section </w:t>
      </w:r>
      <w:hyperlink r:id="rId75">
        <w:r>
          <w:rPr>
            <w:rStyle w:val="Hyperlink"/>
            <w:rFonts w:ascii="Times New Roman" w:hAnsi="Times New Roman"/>
            <w:b w:val="false"/>
            <w:i w:val="false"/>
            <w:color w:val="000000"/>
            <w:sz w:val="22"/>
          </w:rPr>
          <w:t>68B.2(24)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6.19(2)</w:t>
      </w:r>
      <w:r>
        <w:rPr>
          <w:rFonts w:ascii="Times New Roman" w:hAnsi="Times New Roman"/>
          <w:b w:val="false"/>
          <w:i w:val="false"/>
          <w:color w:val="000000"/>
          <w:sz w:val="22"/>
        </w:rPr>
        <w:t> </w:t>
      </w:r>
      <w:r>
        <w:rPr>
          <w:rFonts w:ascii="Times New Roman" w:hAnsi="Times New Roman"/>
          <w:b w:val="false"/>
          <w:i/>
          <w:color w:val="000000"/>
          <w:sz w:val="22"/>
        </w:rPr>
        <w:t xml:space="preserve">Exceptions. </w:t>
      </w:r>
      <w:r>
        <w:rPr>
          <w:rFonts w:ascii="Times New Roman" w:hAnsi="Times New Roman"/>
          <w:b w:val="false"/>
          <w:i w:val="false"/>
          <w:color w:val="000000"/>
          <w:sz w:val="22"/>
        </w:rPr>
        <w:t>An official or employee may receive and accept an honorarium provided that the honorarium consists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Payment of actual expenses for registration, food, beverages, travel, or lodging paid in return for participation on a panel or for a speaking engagement at a meeting. The expenses shall relate directly to the day or days on which the official or employee has participation or speaking responsibilities.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Receipt of a nonmonetary item or a series of nonmonetary items that the official or employee donates within 30 days of receipt to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public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bona fide educational or charitable organization;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department of administrative services. Items donated to the department of administrative services shall be disposed of by assignment to state agencies for official use or by public sale.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Payment to an official or employee for services rendered as part of a bona fide private business, trade, or profession in which the official or employee is engaged so long as both of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payment is commensurate with the actual services rendered;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payment is being made due to a special expertise or other qualification the recipient possesses separate from the recipient’s status as a public official or public employee.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6.19(3)</w:t>
      </w:r>
      <w:r>
        <w:rPr>
          <w:rFonts w:ascii="Times New Roman" w:hAnsi="Times New Roman"/>
          <w:b w:val="false"/>
          <w:i w:val="false"/>
          <w:color w:val="000000"/>
          <w:sz w:val="22"/>
        </w:rPr>
        <w:t> </w:t>
      </w:r>
      <w:r>
        <w:rPr>
          <w:rFonts w:ascii="Times New Roman" w:hAnsi="Times New Roman"/>
          <w:b w:val="false"/>
          <w:i/>
          <w:color w:val="000000"/>
          <w:sz w:val="22"/>
        </w:rPr>
        <w:t xml:space="preserve">Solicitation prohibited. </w:t>
      </w:r>
      <w:r>
        <w:rPr>
          <w:rFonts w:ascii="Times New Roman" w:hAnsi="Times New Roman"/>
          <w:b w:val="false"/>
          <w:i w:val="false"/>
          <w:color w:val="000000"/>
          <w:sz w:val="22"/>
        </w:rPr>
        <w:t>An official or employee shall not solicit, demand, or otherwise request an honorarium from a restricted donor.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6">
        <w:r>
          <w:rPr>
            <w:rStyle w:val="Hyperlink"/>
            <w:rFonts w:ascii="Times New Roman" w:hAnsi="Times New Roman"/>
            <w:b w:val="false"/>
            <w:i w:val="false"/>
            <w:color w:val="000000"/>
            <w:sz w:val="22"/>
          </w:rPr>
          <w:t>68B.23</w:t>
        </w:r>
      </w:hyperlink>
      <w:r>
        <w:rPr>
          <w:rFonts w:ascii="Times New Roman" w:hAnsi="Times New Roman"/>
          <w:b w:val="false"/>
          <w:i w:val="false"/>
          <w:color w:val="000000"/>
          <w:sz w:val="22"/>
        </w:rPr>
        <w:t xml:space="preserve"> and </w:t>
      </w:r>
      <w:hyperlink r:id="rId77">
        <w:r>
          <w:rPr>
            <w:rStyle w:val="Hyperlink"/>
            <w:rFonts w:ascii="Times New Roman" w:hAnsi="Times New Roman"/>
            <w:b w:val="false"/>
            <w:i w:val="false"/>
            <w:color w:val="000000"/>
            <w:sz w:val="22"/>
          </w:rPr>
          <w:t>68B.32A(13)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4/8/09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351—6.20</w:t>
      </w:r>
      <w:r>
        <w:rPr>
          <w:rFonts w:ascii="Times New Roman" w:hAnsi="Times New Roman"/>
          <w:b/>
          <w:i w:val="false"/>
          <w:color w:val="000000"/>
          <w:sz w:val="22"/>
        </w:rPr>
        <w:t xml:space="preserve">(68B) </w:t>
      </w:r>
      <w:r>
        <w:rPr>
          <w:rFonts w:ascii="Times New Roman" w:hAnsi="Times New Roman"/>
          <w:b/>
          <w:i w:val="false"/>
          <w:color w:val="000000"/>
          <w:sz w:val="22"/>
        </w:rPr>
        <w:t xml:space="preserve">Loans from executive branch lobbyists prohibited. </w:t>
      </w:r>
      <w:r>
        <w:rPr>
          <w:rFonts w:ascii="Times New Roman" w:hAnsi="Times New Roman"/>
          <w:b w:val="false"/>
          <w:i w:val="false"/>
          <w:color w:val="000000"/>
          <w:sz w:val="22"/>
        </w:rPr>
        <w:t xml:space="preserve">Pursuant to Iowa Code section </w:t>
      </w:r>
      <w:hyperlink r:id="rId78">
        <w:r>
          <w:rPr>
            <w:rStyle w:val="Hyperlink"/>
            <w:rFonts w:ascii="Times New Roman" w:hAnsi="Times New Roman"/>
            <w:b w:val="false"/>
            <w:i w:val="false"/>
            <w:color w:val="000000"/>
            <w:sz w:val="22"/>
          </w:rPr>
          <w:t>68B.24</w:t>
        </w:r>
      </w:hyperlink>
      <w:r>
        <w:rPr>
          <w:rFonts w:ascii="Times New Roman" w:hAnsi="Times New Roman"/>
          <w:b w:val="false"/>
          <w:i w:val="false"/>
          <w:color w:val="000000"/>
          <w:sz w:val="22"/>
        </w:rPr>
        <w:t>, officials, employees, and candidates for statewide office shall not directly or indirectly seek or accept a loan from a person who is an executive branch lobbyist.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6.20(1)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purposes of this rule,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“Executive branch lobbyist” </w:t>
      </w:r>
      <w:r>
        <w:rPr>
          <w:rFonts w:ascii="Times New Roman" w:hAnsi="Times New Roman"/>
          <w:b w:val="false"/>
          <w:i w:val="false"/>
          <w:color w:val="000000"/>
          <w:sz w:val="22"/>
        </w:rPr>
        <w:t xml:space="preserve">means an individual who is registered as a lobbyist with the board or is an “executive branch lobbyist” as defined in rule </w:t>
      </w:r>
      <w:hyperlink r:id="rId79">
        <w:r>
          <w:rPr>
            <w:rStyle w:val="Hyperlink"/>
            <w:rFonts w:ascii="Times New Roman" w:hAnsi="Times New Roman"/>
            <w:b w:val="false"/>
            <w:i w:val="false"/>
            <w:color w:val="000000"/>
            <w:sz w:val="22"/>
          </w:rPr>
          <w:t>351—8.2(68B)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“Loan” </w:t>
      </w:r>
      <w:r>
        <w:rPr>
          <w:rFonts w:ascii="Times New Roman" w:hAnsi="Times New Roman"/>
          <w:b w:val="false"/>
          <w:i w:val="false"/>
          <w:color w:val="000000"/>
          <w:sz w:val="22"/>
        </w:rPr>
        <w:t>means a sum of money upon agreement, express or implied, to be repaid with or without interest.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6.20(2)</w:t>
      </w:r>
      <w:r>
        <w:rPr>
          <w:rFonts w:ascii="Times New Roman" w:hAnsi="Times New Roman"/>
          <w:b w:val="false"/>
          <w:i w:val="false"/>
          <w:color w:val="000000"/>
          <w:sz w:val="22"/>
        </w:rPr>
        <w:t> </w:t>
      </w:r>
      <w:r>
        <w:rPr>
          <w:rFonts w:ascii="Times New Roman" w:hAnsi="Times New Roman"/>
          <w:b w:val="false"/>
          <w:i/>
          <w:color w:val="000000"/>
          <w:sz w:val="22"/>
        </w:rPr>
        <w:t xml:space="preserve">Offer of loan prohibited. </w:t>
      </w:r>
      <w:r>
        <w:rPr>
          <w:rFonts w:ascii="Times New Roman" w:hAnsi="Times New Roman"/>
          <w:b w:val="false"/>
          <w:i w:val="false"/>
          <w:color w:val="000000"/>
          <w:sz w:val="22"/>
        </w:rPr>
        <w:t xml:space="preserve">An executive branch lobbyist shall not directly or indirectly offer or make a loan to an official, an employee, or a candidate for statewide office as prohibited in Iowa Code section </w:t>
      </w:r>
      <w:hyperlink r:id="rId80">
        <w:r>
          <w:rPr>
            <w:rStyle w:val="Hyperlink"/>
            <w:rFonts w:ascii="Times New Roman" w:hAnsi="Times New Roman"/>
            <w:b w:val="false"/>
            <w:i w:val="false"/>
            <w:color w:val="000000"/>
            <w:sz w:val="22"/>
          </w:rPr>
          <w:t>68B.24(2)</w:t>
        </w:r>
      </w:hyperlink>
      <w:r>
        <w:rPr>
          <w:rFonts w:ascii="Times New Roman" w:hAnsi="Times New Roman"/>
          <w:b w:val="false"/>
          <w:i w:val="false"/>
          <w:color w:val="000000"/>
          <w:sz w:val="22"/>
        </w:rPr>
        <w:t xml:space="preserve"> and rule </w:t>
      </w:r>
      <w:hyperlink r:id="rId81">
        <w:r>
          <w:rPr>
            <w:rStyle w:val="Hyperlink"/>
            <w:rFonts w:ascii="Times New Roman" w:hAnsi="Times New Roman"/>
            <w:b w:val="false"/>
            <w:i w:val="false"/>
            <w:color w:val="000000"/>
            <w:sz w:val="22"/>
          </w:rPr>
          <w:t>351—8.16(68B)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6.20(3)</w:t>
      </w:r>
      <w:r>
        <w:rPr>
          <w:rFonts w:ascii="Times New Roman" w:hAnsi="Times New Roman"/>
          <w:b w:val="false"/>
          <w:i w:val="false"/>
          <w:color w:val="000000"/>
          <w:sz w:val="22"/>
        </w:rPr>
        <w:t> </w:t>
      </w:r>
      <w:r>
        <w:rPr>
          <w:rFonts w:ascii="Times New Roman" w:hAnsi="Times New Roman"/>
          <w:b w:val="false"/>
          <w:i/>
          <w:color w:val="000000"/>
          <w:sz w:val="22"/>
        </w:rPr>
        <w:t xml:space="preserve">Exceptions. </w:t>
      </w:r>
      <w:r>
        <w:rPr>
          <w:rFonts w:ascii="Times New Roman" w:hAnsi="Times New Roman"/>
          <w:b w:val="false"/>
          <w:i w:val="false"/>
          <w:color w:val="000000"/>
          <w:sz w:val="22"/>
        </w:rPr>
        <w:t xml:space="preserve">The prohibitions in Iowa Code section </w:t>
      </w:r>
      <w:hyperlink r:id="rId82">
        <w:r>
          <w:rPr>
            <w:rStyle w:val="Hyperlink"/>
            <w:rFonts w:ascii="Times New Roman" w:hAnsi="Times New Roman"/>
            <w:b w:val="false"/>
            <w:i w:val="false"/>
            <w:color w:val="000000"/>
            <w:sz w:val="22"/>
          </w:rPr>
          <w:t>68B.24</w:t>
        </w:r>
      </w:hyperlink>
      <w:r>
        <w:rPr>
          <w:rFonts w:ascii="Times New Roman" w:hAnsi="Times New Roman"/>
          <w:b w:val="false"/>
          <w:i w:val="false"/>
          <w:color w:val="000000"/>
          <w:sz w:val="22"/>
        </w:rPr>
        <w:t xml:space="preserve"> and this rule do not apply to a loan made in either of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loan made in the ordinary course of business. For purposes of Iowa Code section </w:t>
      </w:r>
      <w:hyperlink r:id="rId83">
        <w:r>
          <w:rPr>
            <w:rStyle w:val="Hyperlink"/>
            <w:rFonts w:ascii="Times New Roman" w:hAnsi="Times New Roman"/>
            <w:b w:val="false"/>
            <w:i w:val="false"/>
            <w:color w:val="000000"/>
            <w:sz w:val="22"/>
          </w:rPr>
          <w:t>68B.24</w:t>
        </w:r>
      </w:hyperlink>
      <w:r>
        <w:rPr>
          <w:rFonts w:ascii="Times New Roman" w:hAnsi="Times New Roman"/>
          <w:b w:val="false"/>
          <w:i w:val="false"/>
          <w:color w:val="000000"/>
          <w:sz w:val="22"/>
        </w:rPr>
        <w:t xml:space="preserve"> and this rule, “ordinary course of business” means the loan is made by a person regularly engaged in a business that makes loans to members of the public, and the finance charges and other terms of the loan are the same as or substantially similar to the finance charges and loan terms that are available to members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loan made to the campaign committee of a candidate for statewide office that is subject to the campaign laws in Iowa Code chapter </w:t>
      </w:r>
      <w:hyperlink r:id="rId84">
        <w:r>
          <w:rPr>
            <w:rStyle w:val="Hyperlink"/>
            <w:rFonts w:ascii="Times New Roman" w:hAnsi="Times New Roman"/>
            <w:b w:val="false"/>
            <w:i w:val="false"/>
            <w:color w:val="000000"/>
            <w:sz w:val="22"/>
          </w:rPr>
          <w:t>68A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85">
        <w:r>
          <w:rPr>
            <w:rStyle w:val="Hyperlink"/>
            <w:rFonts w:ascii="Times New Roman" w:hAnsi="Times New Roman"/>
            <w:b w:val="false"/>
            <w:i w:val="false"/>
            <w:color w:val="000000"/>
            <w:sz w:val="22"/>
          </w:rPr>
          <w:t>68B.24</w:t>
        </w:r>
      </w:hyperlink>
      <w:r>
        <w:rPr>
          <w:rFonts w:ascii="Times New Roman" w:hAnsi="Times New Roman"/>
          <w:b w:val="false"/>
          <w:i w:val="false"/>
          <w:color w:val="000000"/>
          <w:sz w:val="22"/>
        </w:rPr>
        <w:t xml:space="preserve"> and </w:t>
      </w:r>
      <w:hyperlink r:id="rId86">
        <w:r>
          <w:rPr>
            <w:rStyle w:val="Hyperlink"/>
            <w:rFonts w:ascii="Times New Roman" w:hAnsi="Times New Roman"/>
            <w:b w:val="false"/>
            <w:i w:val="false"/>
            <w:color w:val="000000"/>
            <w:sz w:val="22"/>
          </w:rPr>
          <w:t>68B.32A(13)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4/8/09</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8/26/04, Notice 7/21/04—published 9/15/04, effective 10/20/04]</w:t>
      </w:r>
    </w:p>
    <w:p>
      <w:pPr>
        <w:spacing w:before="0" w:after="0"/>
        <w:ind w:left="120"/>
        <w:jc w:val="center"/>
      </w:pPr>
      <w:r>
        <w:rPr>
          <w:rFonts w:ascii="Times New Roman" w:hAnsi="Times New Roman"/>
          <w:b w:val="false"/>
          <w:i w:val="false"/>
          <w:color w:val="000000"/>
          <w:sz w:val="21"/>
        </w:rPr>
        <w:t>[Filed 1/28/05, Notice 11/10/04—published 2/16/05, effective 3/23/05]</w:t>
      </w:r>
    </w:p>
    <w:p>
      <w:pPr>
        <w:spacing w:before="0" w:after="0"/>
        <w:ind w:left="120"/>
        <w:jc w:val="center"/>
      </w:pPr>
      <w:r>
        <w:rPr>
          <w:rFonts w:ascii="Times New Roman" w:hAnsi="Times New Roman"/>
          <w:b w:val="false"/>
          <w:i w:val="false"/>
          <w:color w:val="000000"/>
          <w:sz w:val="21"/>
        </w:rPr>
        <w:t>[Filed 3/11/05, Notice 12/22/04—published 3/30/05, effective 5/4/05]</w:t>
      </w:r>
    </w:p>
    <w:p>
      <w:pPr>
        <w:spacing w:before="0" w:after="0"/>
        <w:ind w:left="120"/>
        <w:jc w:val="center"/>
      </w:pPr>
      <w:r>
        <w:rPr>
          <w:rFonts w:ascii="Times New Roman" w:hAnsi="Times New Roman"/>
          <w:b w:val="false"/>
          <w:i w:val="false"/>
          <w:color w:val="000000"/>
          <w:sz w:val="21"/>
        </w:rPr>
        <w:t>[Filed 5/23/05, Notice 3/16/05—published 6/22/05, effective 7/27/05]</w:t>
      </w:r>
    </w:p>
    <w:p>
      <w:pPr>
        <w:spacing w:before="0" w:after="0"/>
        <w:ind w:left="120"/>
        <w:jc w:val="center"/>
      </w:pPr>
      <w:r>
        <w:rPr>
          <w:rFonts w:ascii="Times New Roman" w:hAnsi="Times New Roman"/>
          <w:b w:val="false"/>
          <w:i w:val="false"/>
          <w:color w:val="000000"/>
          <w:sz w:val="21"/>
        </w:rPr>
        <w:t>[Filed without Notice 5/24/05—published 6/22/05, effective 7/27/05]</w:t>
      </w:r>
    </w:p>
    <w:p>
      <w:pPr>
        <w:spacing w:before="0" w:after="0"/>
        <w:ind w:left="120"/>
        <w:jc w:val="center"/>
      </w:pPr>
      <w:r>
        <w:rPr>
          <w:rFonts w:ascii="Times New Roman" w:hAnsi="Times New Roman"/>
          <w:b w:val="false"/>
          <w:i w:val="false"/>
          <w:color w:val="000000"/>
          <w:sz w:val="21"/>
        </w:rPr>
        <w:t>[Filed 2/8/06, Notice 12/21/05—published 3/1/06, effective 4/5/06]</w:t>
      </w:r>
    </w:p>
    <w:p>
      <w:pPr>
        <w:spacing w:before="0" w:after="0"/>
        <w:ind w:left="120"/>
        <w:jc w:val="center"/>
      </w:pPr>
      <w:r>
        <w:rPr>
          <w:rFonts w:ascii="Times New Roman" w:hAnsi="Times New Roman"/>
          <w:b w:val="false"/>
          <w:i w:val="false"/>
          <w:color w:val="000000"/>
          <w:sz w:val="21"/>
        </w:rPr>
        <w:t>[Filed 9/25/06, Notice 8/2/06—published 10/25/06, effective 11/29/06]</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without Notice 7/11/07—published 8/1/07, effective 9/5/07]</w:t>
      </w:r>
    </w:p>
    <w:p>
      <w:pPr>
        <w:spacing w:before="0" w:after="0"/>
        <w:ind w:left="120"/>
        <w:jc w:val="center"/>
      </w:pPr>
      <w:r>
        <w:rPr>
          <w:rFonts w:ascii="Times New Roman" w:hAnsi="Times New Roman"/>
          <w:b w:val="false"/>
          <w:i w:val="false"/>
          <w:color w:val="000000"/>
          <w:sz w:val="21"/>
        </w:rPr>
        <w:t>[Filed ARC 7649B</w:t>
      </w:r>
      <w:r>
        <w:rPr>
          <w:rFonts w:ascii="Times New Roman" w:hAnsi="Times New Roman"/>
          <w:b w:val="false"/>
          <w:i w:val="false"/>
          <w:color w:val="000000"/>
          <w:sz w:val="21"/>
        </w:rPr>
        <w:t xml:space="preserve"> (Notice ARC 7378B, IAB 12/3/08)</w:t>
      </w:r>
      <w:r>
        <w:rPr>
          <w:rFonts w:ascii="Times New Roman" w:hAnsi="Times New Roman"/>
          <w:b w:val="false"/>
          <w:i w:val="false"/>
          <w:color w:val="000000"/>
          <w:sz w:val="21"/>
        </w:rPr>
        <w:t>, IAB 3/25/09, effective 4/29/09]</w:t>
      </w:r>
      <w:r>
        <w:br/>
      </w:r>
      <w:r>
        <w:rPr>
          <w:rFonts w:ascii="Times New Roman" w:hAnsi="Times New Roman"/>
          <w:b w:val="false"/>
          <w:i w:val="false"/>
          <w:color w:val="000000"/>
          <w:sz w:val="21"/>
        </w:rPr>
        <w:t>[Filed ARC 7650B</w:t>
      </w:r>
      <w:r>
        <w:rPr>
          <w:rFonts w:ascii="Times New Roman" w:hAnsi="Times New Roman"/>
          <w:b w:val="false"/>
          <w:i w:val="false"/>
          <w:color w:val="000000"/>
          <w:sz w:val="21"/>
        </w:rPr>
        <w:t xml:space="preserve"> (Notice ARC 7375B, IAB 12/3/08)</w:t>
      </w:r>
      <w:r>
        <w:rPr>
          <w:rFonts w:ascii="Times New Roman" w:hAnsi="Times New Roman"/>
          <w:b w:val="false"/>
          <w:i w:val="false"/>
          <w:color w:val="000000"/>
          <w:sz w:val="21"/>
        </w:rPr>
        <w:t>, IAB 3/25/09, effective 4/29/09]</w:t>
      </w:r>
    </w:p>
    <w:p>
      <w:pPr>
        <w:spacing w:before="0" w:after="0"/>
        <w:ind w:left="120"/>
        <w:jc w:val="center"/>
      </w:pPr>
      <w:r>
        <w:rPr>
          <w:rFonts w:ascii="Times New Roman" w:hAnsi="Times New Roman"/>
          <w:b w:val="false"/>
          <w:i w:val="false"/>
          <w:color w:val="000000"/>
          <w:sz w:val="21"/>
        </w:rPr>
        <w:t>[Editorial change: IAC Supplement 4/8/09]</w:t>
      </w:r>
    </w:p>
    <w:p>
      <w:pPr>
        <w:spacing w:before="0" w:after="0"/>
        <w:ind w:left="120"/>
        <w:jc w:val="center"/>
      </w:pPr>
      <w:r>
        <w:rPr>
          <w:rFonts w:ascii="Times New Roman" w:hAnsi="Times New Roman"/>
          <w:b w:val="false"/>
          <w:i w:val="false"/>
          <w:color w:val="000000"/>
          <w:sz w:val="21"/>
        </w:rPr>
        <w:t>[Filed ARC 9035B</w:t>
      </w:r>
      <w:r>
        <w:rPr>
          <w:rFonts w:ascii="Times New Roman" w:hAnsi="Times New Roman"/>
          <w:b w:val="false"/>
          <w:i w:val="false"/>
          <w:color w:val="000000"/>
          <w:sz w:val="21"/>
        </w:rPr>
        <w:t xml:space="preserve"> (Notice ARC 8793B, IAB 6/2/10)</w:t>
      </w:r>
      <w:r>
        <w:rPr>
          <w:rFonts w:ascii="Times New Roman" w:hAnsi="Times New Roman"/>
          <w:b w:val="false"/>
          <w:i w:val="false"/>
          <w:color w:val="000000"/>
          <w:sz w:val="21"/>
        </w:rPr>
        <w:t>, IAB 8/25/10, effective 9/29/10]</w:t>
      </w:r>
      <w:r>
        <w:br/>
      </w:r>
      <w:r>
        <w:rPr>
          <w:rFonts w:ascii="Times New Roman" w:hAnsi="Times New Roman"/>
          <w:b w:val="false"/>
          <w:i w:val="false"/>
          <w:color w:val="000000"/>
          <w:sz w:val="21"/>
        </w:rPr>
        <w:t>[Filed ARC 9036B</w:t>
      </w:r>
      <w:r>
        <w:rPr>
          <w:rFonts w:ascii="Times New Roman" w:hAnsi="Times New Roman"/>
          <w:b w:val="false"/>
          <w:i w:val="false"/>
          <w:color w:val="000000"/>
          <w:sz w:val="21"/>
        </w:rPr>
        <w:t xml:space="preserve"> (Notice ARC 8794B, IAB 6/2/10)</w:t>
      </w:r>
      <w:r>
        <w:rPr>
          <w:rFonts w:ascii="Times New Roman" w:hAnsi="Times New Roman"/>
          <w:b w:val="false"/>
          <w:i w:val="false"/>
          <w:color w:val="000000"/>
          <w:sz w:val="21"/>
        </w:rPr>
        <w:t>, IAB 8/25/10, effective 9/29/10]</w:t>
      </w:r>
    </w:p>
    <w:p>
      <w:pPr>
        <w:spacing w:before="0" w:after="0"/>
        <w:ind w:left="120"/>
        <w:jc w:val="center"/>
      </w:pPr>
      <w:r>
        <w:rPr>
          <w:rFonts w:ascii="Times New Roman" w:hAnsi="Times New Roman"/>
          <w:b w:val="false"/>
          <w:i w:val="false"/>
          <w:color w:val="000000"/>
          <w:sz w:val="21"/>
        </w:rPr>
        <w:t>[Filed ARC 5525C</w:t>
      </w:r>
      <w:r>
        <w:rPr>
          <w:rFonts w:ascii="Times New Roman" w:hAnsi="Times New Roman"/>
          <w:b w:val="false"/>
          <w:i w:val="false"/>
          <w:color w:val="000000"/>
          <w:sz w:val="21"/>
        </w:rPr>
        <w:t xml:space="preserve"> (Notice ARC 5236C, IAB 10/21/20)</w:t>
      </w:r>
      <w:r>
        <w:rPr>
          <w:rFonts w:ascii="Times New Roman" w:hAnsi="Times New Roman"/>
          <w:b w:val="false"/>
          <w:i w:val="false"/>
          <w:color w:val="000000"/>
          <w:sz w:val="21"/>
        </w:rPr>
        <w:t>, IAB 3/24/21, effective 4/28/21]</w:t>
      </w:r>
    </w:p>
    <w:p>
      <w:pPr>
        <w:spacing w:before="0" w:after="0"/>
        <w:ind w:left="120"/>
        <w:jc w:val="center"/>
      </w:pPr>
      <w:r>
        <w:rPr>
          <w:rFonts w:ascii="Times New Roman" w:hAnsi="Times New Roman"/>
          <w:b w:val="false"/>
          <w:i w:val="false"/>
          <w:color w:val="000000"/>
          <w:sz w:val="21"/>
        </w:rPr>
        <w:t>[Filed ARC 6084C</w:t>
      </w:r>
      <w:r>
        <w:rPr>
          <w:rFonts w:ascii="Times New Roman" w:hAnsi="Times New Roman"/>
          <w:b w:val="false"/>
          <w:i w:val="false"/>
          <w:color w:val="000000"/>
          <w:sz w:val="21"/>
        </w:rPr>
        <w:t xml:space="preserve"> (Notice ARC 5888C, IAB 9/8/21)</w:t>
      </w:r>
      <w:r>
        <w:rPr>
          <w:rFonts w:ascii="Times New Roman" w:hAnsi="Times New Roman"/>
          <w:b w:val="false"/>
          <w:i w:val="false"/>
          <w:color w:val="000000"/>
          <w:sz w:val="21"/>
        </w:rPr>
        <w:t>, IAB 12/15/21, effective 2/1/22]</w:t>
      </w:r>
    </w:p>
    <w:p>
      <w:pPr>
        <w:pBdr>
          <w:bottom w:space="2"/>
        </w:pBdr>
        <w:spacing w:before="0" w:after="0"/>
        <w:ind w:left="120"/>
        <w:jc w:val="both"/>
      </w:pPr>
      <w:r>
        <w:rPr>
          <w:rFonts w:ascii="Times New Roman" w:hAnsi="Times New Roman"/>
          <w:b w:val="false"/>
          <w:i w:val="false"/>
          <w:color w:val="000000"/>
          <w:sz w:val="22"/>
        </w:rPr>
        <w:t>Two or more ARCs</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68B.32.pdf" Type="http://schemas.openxmlformats.org/officeDocument/2006/relationships/hyperlink" Id="rId5"/>
    <Relationship TargetMode="External" Target="https://www.legis.iowa.gov/docs/ico/chapter/68B.32A.pdf" Type="http://schemas.openxmlformats.org/officeDocument/2006/relationships/hyperlink" Id="rId6"/>
    <Relationship TargetMode="External" Target="https://www.legis.iowa.gov/docs/ico/chapter/68B.32.pdf" Type="http://schemas.openxmlformats.org/officeDocument/2006/relationships/hyperlink" Id="rId7"/>
    <Relationship TargetMode="External" Target="https://www.legis.iowa.gov/docs/ico/chapter/68B.32A.pdf" Type="http://schemas.openxmlformats.org/officeDocument/2006/relationships/hyperlink" Id="rId8"/>
    <Relationship TargetMode="External" Target="https://www.legis.iowa.gov/docs/ico/chapter/7E.4.pdf" Type="http://schemas.openxmlformats.org/officeDocument/2006/relationships/hyperlink" Id="rId9"/>
    <Relationship TargetMode="External" Target="https://www.legis.iowa.gov/docs/ico/chapter/68B.2.pdf" Type="http://schemas.openxmlformats.org/officeDocument/2006/relationships/hyperlink" Id="rId10"/>
    <Relationship TargetMode="External" Target="https://www.legis.iowa.gov/docs/ico/chapter/68B.pdf" Type="http://schemas.openxmlformats.org/officeDocument/2006/relationships/hyperlink" Id="rId11"/>
    <Relationship TargetMode="External" Target="https://www.legis.iowa.gov/docs/ico/chapter/68B.pdf" Type="http://schemas.openxmlformats.org/officeDocument/2006/relationships/hyperlink" Id="rId12"/>
    <Relationship TargetMode="External" Target="https://www.legis.iowa.gov/docs/ico/chapter/68B.32B.pdf" Type="http://schemas.openxmlformats.org/officeDocument/2006/relationships/hyperlink" Id="rId13"/>
    <Relationship TargetMode="External" Target="https://www.legis.iowa.gov/docs/iac/chapter/351.9.pdf" Type="http://schemas.openxmlformats.org/officeDocument/2006/relationships/hyperlink" Id="rId14"/>
    <Relationship TargetMode="External" Target="https://www.legis.iowa.gov/docs/ico/chapter/68B.32D.pdf" Type="http://schemas.openxmlformats.org/officeDocument/2006/relationships/hyperlink" Id="rId15"/>
    <Relationship TargetMode="External" Target="https://www.legis.iowa.gov/docs/ico/chapter/68B.32A.pdf" Type="http://schemas.openxmlformats.org/officeDocument/2006/relationships/hyperlink" Id="rId16"/>
    <Relationship TargetMode="External" Target="https://www.legis.iowa.gov/docs/ico/chapter/68B.32B.pdf" Type="http://schemas.openxmlformats.org/officeDocument/2006/relationships/hyperlink" Id="rId17"/>
    <Relationship TargetMode="External" Target="https://www.legis.iowa.gov/docs/ico/chapter/68B.pdf" Type="http://schemas.openxmlformats.org/officeDocument/2006/relationships/hyperlink" Id="rId18"/>
    <Relationship TargetMode="External" Target="https://www.legis.iowa.gov/docs/ico/chapter/68B.pdf" Type="http://schemas.openxmlformats.org/officeDocument/2006/relationships/hyperlink" Id="rId19"/>
    <Relationship TargetMode="External" Target="https://www.legis.iowa.gov/docs/iac/rule/351.1.2.pdf" Type="http://schemas.openxmlformats.org/officeDocument/2006/relationships/hyperlink" Id="rId20"/>
    <Relationship TargetMode="External" Target="https://www.legis.iowa.gov/docs/iac/rule/351.1.3.pdf" Type="http://schemas.openxmlformats.org/officeDocument/2006/relationships/hyperlink" Id="rId21"/>
    <Relationship TargetMode="External" Target="https://www.legis.iowa.gov/docs/ico/chapter/68B.32A.pdf" Type="http://schemas.openxmlformats.org/officeDocument/2006/relationships/hyperlink" Id="rId22"/>
    <Relationship TargetMode="External" Target="https://www.legis.iowa.gov/docs/iac/chapter/351.12.pdf" Type="http://schemas.openxmlformats.org/officeDocument/2006/relationships/hyperlink" Id="rId23"/>
    <Relationship TargetMode="External" Target="https://www.legis.iowa.gov/docs/ico/chapter/68B.pdf" Type="http://schemas.openxmlformats.org/officeDocument/2006/relationships/hyperlink" Id="rId24"/>
    <Relationship TargetMode="External" Target="https://www.legis.iowa.gov/docs/ico/chapter/68B.32A.pdf" Type="http://schemas.openxmlformats.org/officeDocument/2006/relationships/hyperlink" Id="rId25"/>
    <Relationship TargetMode="External" Target="https://www.legis.iowa.gov/docs/ico/chapter/68B.2B.pdf" Type="http://schemas.openxmlformats.org/officeDocument/2006/relationships/hyperlink" Id="rId26"/>
    <Relationship TargetMode="External" Target="https://www.legis.iowa.gov/docs/ico/chapter/68B.2B.pdf" Type="http://schemas.openxmlformats.org/officeDocument/2006/relationships/hyperlink" Id="rId27"/>
    <Relationship TargetMode="External" Target="https://www.legis.iowa.gov/docs/ico/chapter/68B.2.pdf" Type="http://schemas.openxmlformats.org/officeDocument/2006/relationships/hyperlink" Id="rId28"/>
    <Relationship TargetMode="External" Target="https://www.legis.iowa.gov/docs/ico/chapter/68B.2B.pdf" Type="http://schemas.openxmlformats.org/officeDocument/2006/relationships/hyperlink" Id="rId29"/>
    <Relationship TargetMode="External" Target="https://www.legis.iowa.gov/docs/ico/chapter/68B.2B.pdf" Type="http://schemas.openxmlformats.org/officeDocument/2006/relationships/hyperlink" Id="rId30"/>
    <Relationship TargetMode="External" Target="https://www.legis.iowa.gov/docs/ico/chapter/28D.pdf" Type="http://schemas.openxmlformats.org/officeDocument/2006/relationships/hyperlink" Id="rId31"/>
    <Relationship TargetMode="External" Target="https://www.legis.iowa.gov/docs/ico/chapter/68B.pdf" Type="http://schemas.openxmlformats.org/officeDocument/2006/relationships/hyperlink" Id="rId32"/>
    <Relationship TargetMode="External" Target="https://www.legis.iowa.gov/docs/ico/chapter/68B.32A.pdf" Type="http://schemas.openxmlformats.org/officeDocument/2006/relationships/hyperlink" Id="rId33"/>
    <Relationship TargetMode="External" Target="https://www.legis.iowa.gov/docs/ico/chapter/68B.2A.pdf" Type="http://schemas.openxmlformats.org/officeDocument/2006/relationships/hyperlink" Id="rId34"/>
    <Relationship TargetMode="External" Target="https://www.legis.iowa.gov/docs/iac/chapter/351.5.pdf" Type="http://schemas.openxmlformats.org/officeDocument/2006/relationships/hyperlink" Id="rId35"/>
    <Relationship TargetMode="External" Target="https://www.legis.iowa.gov/docs/ico/chapter/68B.32A.pdf" Type="http://schemas.openxmlformats.org/officeDocument/2006/relationships/hyperlink" Id="rId36"/>
    <Relationship TargetMode="External" Target="https://www.legis.iowa.gov/docs/ico/chapter/68B.32A.pdf" Type="http://schemas.openxmlformats.org/officeDocument/2006/relationships/hyperlink" Id="rId37"/>
    <Relationship TargetMode="External" Target="https://www.legis.iowa.gov/docs/ico/chapter/68B.3.pdf" Type="http://schemas.openxmlformats.org/officeDocument/2006/relationships/hyperlink" Id="rId38"/>
    <Relationship TargetMode="External" Target="https://www.legis.iowa.gov/docs/ico/chapter/68B.3.pdf" Type="http://schemas.openxmlformats.org/officeDocument/2006/relationships/hyperlink" Id="rId39"/>
    <Relationship TargetMode="External" Target="https://www.legis.iowa.gov/docs/ico/chapter/7E.4.pdf" Type="http://schemas.openxmlformats.org/officeDocument/2006/relationships/hyperlink" Id="rId40"/>
    <Relationship TargetMode="External" Target="https://www.legis.iowa.gov/docs/iac/chapter/351.7.pdf" Type="http://schemas.openxmlformats.org/officeDocument/2006/relationships/hyperlink" Id="rId41"/>
    <Relationship TargetMode="External" Target="https://www.legis.iowa.gov/docs/ico/chapter/68B.3.pdf" Type="http://schemas.openxmlformats.org/officeDocument/2006/relationships/hyperlink" Id="rId42"/>
    <Relationship TargetMode="External" Target="https://www.legis.iowa.gov/docs/ico/chapter/68B.pdf" Type="http://schemas.openxmlformats.org/officeDocument/2006/relationships/hyperlink" Id="rId43"/>
    <Relationship TargetMode="External" Target="https://www.legis.iowa.gov/docs/ico/chapter/68B.3.pdf" Type="http://schemas.openxmlformats.org/officeDocument/2006/relationships/hyperlink" Id="rId44"/>
    <Relationship TargetMode="External" Target="https://www.legis.iowa.gov/docs/ico/chapter/68B.4.pdf" Type="http://schemas.openxmlformats.org/officeDocument/2006/relationships/hyperlink" Id="rId45"/>
    <Relationship TargetMode="External" Target="https://www.legis.iowa.gov/docs/ico/chapter/7E.4.pdf" Type="http://schemas.openxmlformats.org/officeDocument/2006/relationships/hyperlink" Id="rId46"/>
    <Relationship TargetMode="External" Target="https://www.legis.iowa.gov/docs/ico/chapter/68B.4.pdf" Type="http://schemas.openxmlformats.org/officeDocument/2006/relationships/hyperlink" Id="rId47"/>
    <Relationship TargetMode="External" Target="https://www.legis.iowa.gov/docs/ico/chapter/68B.2A.pdf" Type="http://schemas.openxmlformats.org/officeDocument/2006/relationships/hyperlink" Id="rId48"/>
    <Relationship TargetMode="External" Target="https://www.legis.iowa.gov/docs/ico/chapter/68B.4.pdf" Type="http://schemas.openxmlformats.org/officeDocument/2006/relationships/hyperlink" Id="rId49"/>
    <Relationship TargetMode="External" Target="https://www.legis.iowa.gov/docs/ico/chapter/68B.2A.pdf" Type="http://schemas.openxmlformats.org/officeDocument/2006/relationships/hyperlink" Id="rId50"/>
    <Relationship TargetMode="External" Target="https://www.legis.iowa.gov/docs/iac/rule/351.6.11.pdf" Type="http://schemas.openxmlformats.org/officeDocument/2006/relationships/hyperlink" Id="rId51"/>
    <Relationship TargetMode="External" Target="https://www.legis.iowa.gov/docs/iac/rule/351.6.11.pdf" Type="http://schemas.openxmlformats.org/officeDocument/2006/relationships/hyperlink" Id="rId52"/>
    <Relationship TargetMode="External" Target="https://www.legis.iowa.gov/docs/iac/rule/351.6.11.pdf" Type="http://schemas.openxmlformats.org/officeDocument/2006/relationships/hyperlink" Id="rId53"/>
    <Relationship TargetMode="External" Target="https://www.legis.iowa.gov/docs/iac/rule/351.6.11.pdf" Type="http://schemas.openxmlformats.org/officeDocument/2006/relationships/hyperlink" Id="rId54"/>
    <Relationship TargetMode="External" Target="https://www.legis.iowa.gov/docs/iac/chapter/351.11.pdf" Type="http://schemas.openxmlformats.org/officeDocument/2006/relationships/hyperlink" Id="rId55"/>
    <Relationship TargetMode="External" Target="https://www.legis.iowa.gov/docs/ico/chapter/68B.2A.pdf" Type="http://schemas.openxmlformats.org/officeDocument/2006/relationships/hyperlink" Id="rId56"/>
    <Relationship TargetMode="External" Target="https://www.legis.iowa.gov/docs/ico/chapter/68B.4.pdf" Type="http://schemas.openxmlformats.org/officeDocument/2006/relationships/hyperlink" Id="rId57"/>
    <Relationship TargetMode="External" Target="https://www.legis.iowa.gov/docs/ico/chapter/68B.4.pdf" Type="http://schemas.openxmlformats.org/officeDocument/2006/relationships/hyperlink" Id="rId58"/>
    <Relationship TargetMode="External" Target="https://www.legis.iowa.gov/docs/ico/chapter/68B.4.pdf" Type="http://schemas.openxmlformats.org/officeDocument/2006/relationships/hyperlink" Id="rId59"/>
    <Relationship TargetMode="External" Target="https://www.legis.iowa.gov/docs/ico/chapter/68B.4B.pdf" Type="http://schemas.openxmlformats.org/officeDocument/2006/relationships/hyperlink" Id="rId60"/>
    <Relationship TargetMode="External" Target="https://www.legis.iowa.gov/docs/ico/chapter/68B.4B.pdf" Type="http://schemas.openxmlformats.org/officeDocument/2006/relationships/hyperlink" Id="rId61"/>
    <Relationship TargetMode="External" Target="https://www.legis.iowa.gov/docs/ico/chapter/68B.2A.pdf" Type="http://schemas.openxmlformats.org/officeDocument/2006/relationships/hyperlink" Id="rId62"/>
    <Relationship TargetMode="External" Target="https://www.legis.iowa.gov/docs/ico/chapter/68B.2A.pdf" Type="http://schemas.openxmlformats.org/officeDocument/2006/relationships/hyperlink" Id="rId63"/>
    <Relationship TargetMode="External" Target="https://www.legis.iowa.gov/docs/iac/rule/351.6.12.pdf" Type="http://schemas.openxmlformats.org/officeDocument/2006/relationships/hyperlink" Id="rId64"/>
    <Relationship TargetMode="External" Target="https://www.legis.iowa.gov/docs/iac/rule/351.6.12.pdf" Type="http://schemas.openxmlformats.org/officeDocument/2006/relationships/hyperlink" Id="rId65"/>
    <Relationship TargetMode="External" Target="https://www.legis.iowa.gov/docs/iac/chapter/351.11.pdf" Type="http://schemas.openxmlformats.org/officeDocument/2006/relationships/hyperlink" Id="rId66"/>
    <Relationship TargetMode="External" Target="https://www.legis.iowa.gov/docs/ico/chapter/68B.2A.pdf" Type="http://schemas.openxmlformats.org/officeDocument/2006/relationships/hyperlink" Id="rId67"/>
    <Relationship TargetMode="External" Target="https://www.legis.iowa.gov/docs/ico/chapter/68B.4B.pdf" Type="http://schemas.openxmlformats.org/officeDocument/2006/relationships/hyperlink" Id="rId68"/>
    <Relationship TargetMode="External" Target="https://www.legis.iowa.gov/docs/ico/chapter/68B.4B.pdf" Type="http://schemas.openxmlformats.org/officeDocument/2006/relationships/hyperlink" Id="rId69"/>
    <Relationship TargetMode="External" Target="https://www.legis.iowa.gov/docs/ico/chapter/68B.4B.pdf" Type="http://schemas.openxmlformats.org/officeDocument/2006/relationships/hyperlink" Id="rId70"/>
    <Relationship TargetMode="External" Target="https://www.legis.iowa.gov/docs/ico/chapter/68B.6.pdf" Type="http://schemas.openxmlformats.org/officeDocument/2006/relationships/hyperlink" Id="rId71"/>
    <Relationship TargetMode="External" Target="https://www.legis.iowa.gov/docs/ico/chapter/68B.6.pdf" Type="http://schemas.openxmlformats.org/officeDocument/2006/relationships/hyperlink" Id="rId72"/>
    <Relationship TargetMode="External" Target="https://www.legis.iowa.gov/docs/ico/chapter/68B.6.pdf" Type="http://schemas.openxmlformats.org/officeDocument/2006/relationships/hyperlink" Id="rId73"/>
    <Relationship TargetMode="External" Target="https://www.legis.iowa.gov/docs/ico/chapter/68B.23.pdf" Type="http://schemas.openxmlformats.org/officeDocument/2006/relationships/hyperlink" Id="rId74"/>
    <Relationship TargetMode="External" Target="https://www.legis.iowa.gov/docs/ico/chapter/68B.2.pdf" Type="http://schemas.openxmlformats.org/officeDocument/2006/relationships/hyperlink" Id="rId75"/>
    <Relationship TargetMode="External" Target="https://www.legis.iowa.gov/docs/ico/chapter/68B.23.pdf" Type="http://schemas.openxmlformats.org/officeDocument/2006/relationships/hyperlink" Id="rId76"/>
    <Relationship TargetMode="External" Target="https://www.legis.iowa.gov/docs/ico/chapter/68B.32A.pdf" Type="http://schemas.openxmlformats.org/officeDocument/2006/relationships/hyperlink" Id="rId77"/>
    <Relationship TargetMode="External" Target="https://www.legis.iowa.gov/docs/ico/chapter/68B.24.pdf" Type="http://schemas.openxmlformats.org/officeDocument/2006/relationships/hyperlink" Id="rId78"/>
    <Relationship TargetMode="External" Target="https://www.legis.iowa.gov/docs/iac/rule/351.8.2.pdf" Type="http://schemas.openxmlformats.org/officeDocument/2006/relationships/hyperlink" Id="rId79"/>
    <Relationship TargetMode="External" Target="https://www.legis.iowa.gov/docs/ico/chapter/68B.24.pdf" Type="http://schemas.openxmlformats.org/officeDocument/2006/relationships/hyperlink" Id="rId80"/>
    <Relationship TargetMode="External" Target="https://www.legis.iowa.gov/docs/iac/rule/351.8.16.pdf" Type="http://schemas.openxmlformats.org/officeDocument/2006/relationships/hyperlink" Id="rId81"/>
    <Relationship TargetMode="External" Target="https://www.legis.iowa.gov/docs/ico/chapter/68B.24.pdf" Type="http://schemas.openxmlformats.org/officeDocument/2006/relationships/hyperlink" Id="rId82"/>
    <Relationship TargetMode="External" Target="https://www.legis.iowa.gov/docs/ico/chapter/68B.24.pdf" Type="http://schemas.openxmlformats.org/officeDocument/2006/relationships/hyperlink" Id="rId83"/>
    <Relationship TargetMode="External" Target="https://www.legis.iowa.gov/docs/ico/chapter/68A.pdf" Type="http://schemas.openxmlformats.org/officeDocument/2006/relationships/hyperlink" Id="rId84"/>
    <Relationship TargetMode="External" Target="https://www.legis.iowa.gov/docs/ico/chapter/68B.24.pdf" Type="http://schemas.openxmlformats.org/officeDocument/2006/relationships/hyperlink" Id="rId85"/>
    <Relationship TargetMode="External" Target="https://www.legis.iowa.gov/docs/ico/chapter/68B.32A.pdf" Type="http://schemas.openxmlformats.org/officeDocument/2006/relationships/hyperlink" Id="rId8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