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CAMPAIGN DISCLOSURE PROCEDURES</w:t>
      </w:r>
    </w:p>
    <w:p>
      <w:pPr>
        <w:spacing w:before="0" w:after="0"/>
        <w:ind w:left="120"/>
        <w:jc w:val="center"/>
      </w:pPr>
      <w:r>
        <w:rPr>
          <w:rFonts w:ascii="Times New Roman" w:hAnsi="Times New Roman"/>
          <w:b w:val="false"/>
          <w:i w:val="false"/>
          <w:color w:val="000000"/>
          <w:sz w:val="14"/>
        </w:rPr>
        <w:t>[Prior to 9/9/87, Campaign Finance Disclosure[190] Ch 4]</w:t>
      </w:r>
    </w:p>
    <w:p>
      <w:pPr>
        <w:spacing w:before="0" w:after="0"/>
        <w:ind w:left="120"/>
        <w:jc w:val="center"/>
      </w:pPr>
      <w:r>
        <w:rPr>
          <w:rFonts w:ascii="Times New Roman" w:hAnsi="Times New Roman"/>
          <w:b w:val="false"/>
          <w:i w:val="false"/>
          <w:color w:val="000000"/>
          <w:sz w:val="14"/>
        </w:rPr>
        <w:t>[Prior to 3/30/94, Campaign Finance Disclosure Commission[121] Ch 4]</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ORGANIZATIONAL REQUIREMENTS</w:t>
      </w:r>
    </w:p>
    <w:p>
      <w:pPr>
        <w:spacing w:before="0" w:after="0"/>
        <w:ind w:left="120"/>
        <w:jc w:val="both"/>
      </w:pPr>
      <w:r>
        <w:rPr>
          <w:rFonts w:ascii="Times New Roman" w:hAnsi="Times New Roman"/>
          <w:b/>
          <w:i w:val="false"/>
          <w:color w:val="000000"/>
          <w:sz w:val="22"/>
        </w:rPr>
        <w:t>351—4.1</w:t>
      </w:r>
      <w:r>
        <w:rPr>
          <w:rFonts w:ascii="Times New Roman" w:hAnsi="Times New Roman"/>
          <w:b/>
          <w:i w:val="false"/>
          <w:color w:val="000000"/>
          <w:sz w:val="22"/>
        </w:rPr>
        <w:t xml:space="preserve">(68A,68B) </w:t>
      </w:r>
      <w:r>
        <w:rPr>
          <w:rFonts w:ascii="Times New Roman" w:hAnsi="Times New Roman"/>
          <w:b/>
          <w:i w:val="false"/>
          <w:color w:val="000000"/>
          <w:sz w:val="22"/>
        </w:rPr>
        <w:t xml:space="preserve">Requirement to file statement of organization (DR-1)—persons subject to requirements; financial thresholds; where to file; when due.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color w:val="000000"/>
          <w:sz w:val="22"/>
        </w:rPr>
        <w:t xml:space="preserve">Persons subject to requirement. </w:t>
      </w:r>
      <w:r>
        <w:rPr>
          <w:rFonts w:ascii="Times New Roman" w:hAnsi="Times New Roman"/>
          <w:b w:val="false"/>
          <w:i w:val="false"/>
          <w:color w:val="000000"/>
          <w:sz w:val="22"/>
        </w:rPr>
        <w:t>Every committee shall file a statement of organization (Form DR-1) within ten days from the date of its organization. The forms shall be filed in electronic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“Committee” defined. </w:t>
      </w:r>
      <w:r>
        <w:rPr>
          <w:rFonts w:ascii="Times New Roman" w:hAnsi="Times New Roman"/>
          <w:b w:val="false"/>
          <w:i w:val="false"/>
          <w:color w:val="000000"/>
          <w:sz w:val="22"/>
        </w:rPr>
        <w:t>“Committee”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“candidate’s committee” that is the committee, even if the committee consists only of the candidate, designated by a candidate for a state or local office to receive contributions, make expenditures, or incur debts in excess of $1,000.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“political committee” (PAC) that is a committee exceeding the $1,000 organizational threshold to expressly advocate the nomination, election, or defeat of candidates or to expressly advocate the passage or defeat of a ballot issue. The board shall automatically classify as a political committee any political organization that loses its status as a political party because it fails to meet the requirements of Iowa Code section </w:t>
      </w:r>
      <w:hyperlink r:id="rId5">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The board shall automatically classify as a political committee any county central committee that operated under the former political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 statutory political committee” (state party), “county statutory political party” (county central committee), or “city statutory political committee” (city central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that wishes to register a committee for purposes of using the short form “paid for by” attribution statement shall file Form DR-SFA pursuant to rule </w:t>
      </w:r>
      <w:hyperlink r:id="rId6">
        <w:r>
          <w:rPr>
            <w:rStyle w:val="Hyperlink"/>
            <w:rFonts w:ascii="Times New Roman" w:hAnsi="Times New Roman"/>
            <w:b w:val="false"/>
            <w:i w:val="false"/>
            <w:color w:val="000000"/>
            <w:sz w:val="22"/>
          </w:rPr>
          <w:t>351—4.11</w:t>
        </w:r>
      </w:hyperlink>
      <w:r>
        <w:rPr>
          <w:rFonts w:ascii="Times New Roman" w:hAnsi="Times New Roman"/>
          <w:b w:val="false"/>
          <w:i w:val="false"/>
          <w:color w:val="000000"/>
          <w:sz w:val="22"/>
        </w:rPr>
        <w:t>(68A).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When organization occurs; financial thresholds. </w:t>
      </w:r>
      <w:r>
        <w:rPr>
          <w:rFonts w:ascii="Times New Roman" w:hAnsi="Times New Roman"/>
          <w:b w:val="false"/>
          <w:i w:val="false"/>
          <w:color w:val="000000"/>
          <w:sz w:val="22"/>
        </w:rPr>
        <w:t>At the latest, organization is construed to have occurred as of the date that the committee first exceeded $1,000 of financial activity in a calendar year in any of the following categories: contributions received (aggregate of monetary and in-kind contributions); expenditures made; or indebtedness incurred.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Permanent organizations temporarily engaging in political activity. </w:t>
      </w:r>
      <w:r>
        <w:rPr>
          <w:rFonts w:ascii="Times New Roman" w:hAnsi="Times New Roman"/>
          <w:b w:val="false"/>
          <w:i w:val="false"/>
          <w:color w:val="000000"/>
          <w:sz w:val="22"/>
        </w:rPr>
        <w:t xml:space="preserve">The requirement to file the statement of organization applies to an entity that comes under the definition of a “political committee” (PAC) in Iowa Code section </w:t>
      </w:r>
      <w:hyperlink r:id="rId7">
        <w:r>
          <w:rPr>
            <w:rStyle w:val="Hyperlink"/>
            <w:rFonts w:ascii="Times New Roman" w:hAnsi="Times New Roman"/>
            <w:b w:val="false"/>
            <w:i w:val="false"/>
            <w:color w:val="000000"/>
            <w:sz w:val="22"/>
          </w:rPr>
          <w:t>68A.102(18)</w:t>
        </w:r>
      </w:hyperlink>
      <w:r>
        <w:rPr>
          <w:rFonts w:ascii="Times New Roman" w:hAnsi="Times New Roman"/>
          <w:b w:val="false"/>
          <w:i w:val="false"/>
          <w:color w:val="000000"/>
          <w:sz w:val="22"/>
        </w:rPr>
        <w:t xml:space="preserve"> by receiving contributions, making expenditures, or incurring debts in excess of $1,000 in any one calendar year for the purpose of expressly advocating the election or defeat of a candidate for public office, or for the purpose of expressly advocating the passage or defeat of a ballot issue. A permanent organization that makes a one-time contribution in excess of $1,000 may in lieu of filing a statement of organization follow the procedure in rule </w:t>
      </w:r>
      <w:hyperlink r:id="rId8">
        <w:r>
          <w:rPr>
            <w:rStyle w:val="Hyperlink"/>
            <w:rFonts w:ascii="Times New Roman" w:hAnsi="Times New Roman"/>
            <w:b w:val="false"/>
            <w:i w:val="false"/>
            <w:color w:val="000000"/>
            <w:sz w:val="22"/>
          </w:rPr>
          <w:t>351—4.35</w:t>
        </w:r>
      </w:hyperlink>
      <w:r>
        <w:rPr>
          <w:rFonts w:ascii="Times New Roman" w:hAnsi="Times New Roman"/>
          <w:b w:val="false"/>
          <w:i w:val="false"/>
          <w:color w:val="000000"/>
          <w:sz w:val="22"/>
        </w:rPr>
        <w:t>(68A). A permanent organization that makes loans to a candidate or committee or that is owed debts from a candidate or committee is not deemed to be engaging in political activity requiring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Independent expenditure committee. </w:t>
      </w:r>
      <w:r>
        <w:rPr>
          <w:rFonts w:ascii="Times New Roman" w:hAnsi="Times New Roman"/>
          <w:b w:val="false"/>
          <w:i w:val="false"/>
          <w:color w:val="000000"/>
          <w:sz w:val="22"/>
        </w:rPr>
        <w:t xml:space="preserve">A person that is required to file campaign disclosure reports pursuant to 2009 Iowa Code Supplement section </w:t>
      </w:r>
      <w:hyperlink r:id="rId9">
        <w:r>
          <w:rPr>
            <w:rStyle w:val="Hyperlink"/>
            <w:rFonts w:ascii="Times New Roman" w:hAnsi="Times New Roman"/>
            <w:b w:val="false"/>
            <w:i w:val="false"/>
            <w:color w:val="000000"/>
            <w:sz w:val="22"/>
          </w:rPr>
          <w:t>68A.404(3)</w:t>
        </w:r>
        <w:r>
          <w:rPr>
            <w:rFonts w:ascii="Times New Roman" w:hAnsi="Times New Roman"/>
            <w:b w:val="false"/>
            <w:i/>
            <w:color w:val="000000"/>
            <w:sz w:val="22"/>
          </w:rPr>
          <w:t>“a”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Senate File 2354, section 3</w:t>
      </w:r>
      <w:r>
        <w:rPr>
          <w:rFonts w:ascii="Times New Roman" w:hAnsi="Times New Roman"/>
          <w:b w:val="false"/>
          <w:i w:val="false"/>
          <w:color w:val="000000"/>
          <w:sz w:val="22"/>
        </w:rPr>
        <w:t>, due to the filing of an independent expenditure statement (Form Ind-Exp-O) shall be referred to as an “independent expenditure committee.” An independent expenditure committee, or a sole individual making an independent expenditure by filing Form Ind-Exp-I, is not required to file a statement of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color w:val="000000"/>
          <w:sz w:val="22"/>
        </w:rPr>
        <w:t xml:space="preserve">Place of filing. </w:t>
      </w:r>
      <w:r>
        <w:rPr>
          <w:rFonts w:ascii="Times New Roman" w:hAnsi="Times New Roman"/>
          <w:b w:val="false"/>
          <w:i w:val="false"/>
          <w:color w:val="000000"/>
          <w:sz w:val="22"/>
        </w:rPr>
        <w:t xml:space="preserve">Statements of organization shall be filed through the board’s website at </w:t>
      </w:r>
      <w:hyperlink r:id="rId10">
        <w:r>
          <w:rPr>
            <w:rStyle w:val="Hyperlink"/>
            <w:rFonts w:ascii="Times New Roman" w:hAnsi="Times New Roman"/>
            <w:b w:val="false"/>
            <w:i w:val="false"/>
            <w:color w:val="000000"/>
            <w:sz w:val="22"/>
            <w:u w:val="single"/>
          </w:rPr>
          <w:t>ethics.iowa.gov</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 xml:space="preserve">A statement of organization shall be filed with the board within ten days after the financial filing threshold in subrule </w:t>
      </w:r>
      <w:hyperlink r:id="rId11">
        <w:r>
          <w:rPr>
            <w:rStyle w:val="Hyperlink"/>
            <w:rFonts w:ascii="Times New Roman" w:hAnsi="Times New Roman"/>
            <w:b w:val="false"/>
            <w:i w:val="false"/>
            <w:color w:val="000000"/>
            <w:sz w:val="22"/>
          </w:rPr>
          <w:t>4.1(1)</w:t>
        </w:r>
      </w:hyperlink>
      <w:r>
        <w:rPr>
          <w:rFonts w:ascii="Times New Roman" w:hAnsi="Times New Roman"/>
          <w:b w:val="false"/>
          <w:i w:val="false"/>
          <w:color w:val="000000"/>
          <w:sz w:val="22"/>
        </w:rPr>
        <w:t xml:space="preserve"> has been exceeded. A committee shall file the statement with the board on or before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due date. If the tenth day falls on a Saturday, Sunday, or holiday on which the board office is closed, the filing deadline is extended to the next working day when the board office is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w:t>
      </w:r>
      <w:r>
        <w:rPr>
          <w:rFonts w:ascii="Times New Roman" w:hAnsi="Times New Roman"/>
          <w:b w:val="false"/>
          <w:i w:val="false"/>
          <w:color w:val="000000"/>
          <w:sz w:val="22"/>
        </w:rPr>
        <w:t> </w:t>
      </w:r>
      <w:r>
        <w:rPr>
          <w:rFonts w:ascii="Times New Roman" w:hAnsi="Times New Roman"/>
          <w:b w:val="false"/>
          <w:i/>
          <w:color w:val="000000"/>
          <w:sz w:val="22"/>
        </w:rPr>
        <w:t xml:space="preserve">Candidate defined. </w:t>
      </w:r>
      <w:r>
        <w:rPr>
          <w:rFonts w:ascii="Times New Roman" w:hAnsi="Times New Roman"/>
          <w:b w:val="false"/>
          <w:i w:val="false"/>
          <w:color w:val="000000"/>
          <w:sz w:val="22"/>
        </w:rPr>
        <w:t xml:space="preserve">For purposes of Iowa Code chapters </w:t>
      </w:r>
      <w:hyperlink r:id="rId12">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and the rules of the board, “candidate” means an individual who takes affirmative action to seek nomination or election to a state or local public office. For purposes of Iowa Code chapter </w:t>
      </w:r>
      <w:hyperlink r:id="rId14">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and any rules of the board on campaigning for public office, “candidate” includes any judge or judicial employee who is required by law to stand for retention. “Takes affirmative action” includes making a public announcement of intention to seek nomination or election, making any expenditure or accepting any contribution for nomination or election, distributing petitions for signatures for nomination, filing nomination papers or an affidavit of candidacy, or being nominated by any convention process set out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w:t>
      </w:r>
      <w:r>
        <w:rPr>
          <w:rFonts w:ascii="Times New Roman" w:hAnsi="Times New Roman"/>
          <w:b w:val="false"/>
          <w:i w:val="false"/>
          <w:color w:val="000000"/>
          <w:sz w:val="22"/>
        </w:rPr>
        <w:t> </w:t>
      </w:r>
      <w:r>
        <w:rPr>
          <w:rFonts w:ascii="Times New Roman" w:hAnsi="Times New Roman"/>
          <w:b w:val="false"/>
          <w:i/>
          <w:color w:val="000000"/>
          <w:sz w:val="22"/>
        </w:rPr>
        <w:t xml:space="preserve">Ballot issue defined. </w:t>
      </w:r>
      <w:r>
        <w:rPr>
          <w:rFonts w:ascii="Times New Roman" w:hAnsi="Times New Roman"/>
          <w:b w:val="false"/>
          <w:i w:val="false"/>
          <w:color w:val="000000"/>
          <w:sz w:val="22"/>
        </w:rPr>
        <w:t>“Ballot issue” means a question that has been approved by a political subdivision or the general assembly to be placed before the voters or is otherwise required by law to be placed before the voters. “Ballot issue” does not include the nomination, election, or defeat of a candidate.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w:t>
      </w:r>
      <w:r>
        <w:rPr>
          <w:rFonts w:ascii="Times New Roman" w:hAnsi="Times New Roman"/>
          <w:b w:val="false"/>
          <w:i w:val="false"/>
          <w:color w:val="000000"/>
          <w:sz w:val="22"/>
        </w:rPr>
        <w:t> </w:t>
      </w:r>
      <w:r>
        <w:rPr>
          <w:rFonts w:ascii="Times New Roman" w:hAnsi="Times New Roman"/>
          <w:b w:val="false"/>
          <w:i/>
          <w:color w:val="000000"/>
          <w:sz w:val="22"/>
        </w:rPr>
        <w:t xml:space="preserve">Electronic format or electronic filing defined. </w:t>
      </w:r>
      <w:r>
        <w:rPr>
          <w:rFonts w:ascii="Times New Roman" w:hAnsi="Times New Roman"/>
          <w:b w:val="false"/>
          <w:i w:val="false"/>
          <w:color w:val="000000"/>
          <w:sz w:val="22"/>
        </w:rPr>
        <w:t xml:space="preserve">“Electronic format” or “electronic filing” means the board’s electronic filing system for submitting a statement of organization via the board’s website at </w:t>
      </w:r>
      <w:hyperlink r:id="rId15">
        <w:r>
          <w:rPr>
            <w:rStyle w:val="Hyperlink"/>
            <w:rFonts w:ascii="Times New Roman" w:hAnsi="Times New Roman"/>
            <w:b w:val="false"/>
            <w:i w:val="false"/>
            <w:color w:val="000000"/>
            <w:sz w:val="22"/>
            <w:u w:val="single"/>
          </w:rPr>
          <w:t>ethics.iowa.gov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68A.201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68A.401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8290B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 xml:space="preserve">; </w:t>
      </w:r>
      <w:r>
        <w:rPr>
          <w:rFonts w:ascii="Times New Roman" w:hAnsi="Times New Roman"/>
          <w:b/>
          <w:i w:val="false"/>
          <w:color w:val="000000"/>
          <w:sz w:val="16"/>
        </w:rPr>
        <w:t>ARC 8826B</w:t>
      </w:r>
      <w:r>
        <w:rPr>
          <w:rFonts w:ascii="Times New Roman" w:hAnsi="Times New Roman"/>
          <w:b w:val="false"/>
          <w:i w:val="false"/>
          <w:color w:val="000000"/>
          <w:sz w:val="16"/>
        </w:rPr>
        <w:t>, IAB 6/2/10, effective 5/17/10</w:t>
      </w:r>
      <w:r>
        <w:rPr>
          <w:rFonts w:ascii="Times New Roman" w:hAnsi="Times New Roman"/>
          <w:b w:val="false"/>
          <w:i w:val="false"/>
          <w:color w:val="000000"/>
          <w:sz w:val="16"/>
        </w:rPr>
        <w:t xml:space="preserve">; </w:t>
      </w:r>
      <w:r>
        <w:rPr>
          <w:rFonts w:ascii="Times New Roman" w:hAnsi="Times New Roman"/>
          <w:b/>
          <w:i w:val="false"/>
          <w:color w:val="000000"/>
          <w:sz w:val="16"/>
        </w:rPr>
        <w:t>ARC 9031B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351—4.2</w:t>
      </w:r>
      <w:r>
        <w:rPr>
          <w:rFonts w:ascii="Times New Roman" w:hAnsi="Times New Roman"/>
          <w:b/>
          <w:i w:val="false"/>
          <w:color w:val="000000"/>
          <w:sz w:val="22"/>
        </w:rPr>
        <w:t xml:space="preserve">(68A,68B) </w:t>
      </w:r>
      <w:r>
        <w:rPr>
          <w:rFonts w:ascii="Times New Roman" w:hAnsi="Times New Roman"/>
          <w:b/>
          <w:i w:val="false"/>
          <w:color w:val="000000"/>
          <w:sz w:val="22"/>
        </w:rPr>
        <w:t xml:space="preserve">Information required: committee name.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Full name required. </w:t>
      </w:r>
      <w:r>
        <w:rPr>
          <w:rFonts w:ascii="Times New Roman" w:hAnsi="Times New Roman"/>
          <w:b w:val="false"/>
          <w:i w:val="false"/>
          <w:color w:val="000000"/>
          <w:sz w:val="22"/>
        </w:rPr>
        <w:t>The statement of organization shall include the full name of the committee. A committee using an abbreviation or acronym as part of the committee name shall provide with the statement of organization a written explanation of the full word or words that are abbreviated or that form the acronym.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Duplication of name prohibited. </w:t>
      </w:r>
      <w:r>
        <w:rPr>
          <w:rFonts w:ascii="Times New Roman" w:hAnsi="Times New Roman"/>
          <w:b w:val="false"/>
          <w:i w:val="false"/>
          <w:color w:val="000000"/>
          <w:sz w:val="22"/>
        </w:rPr>
        <w:t xml:space="preserve">The committee name shall not duplicate the name of another committee organized under Iowa Code chapter </w:t>
      </w:r>
      <w:hyperlink r:id="rId18">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The board shall determine whether two committee names are in duplication in violation of Iowa Code section </w:t>
      </w:r>
      <w:hyperlink r:id="rId19">
        <w:r>
          <w:rPr>
            <w:rStyle w:val="Hyperlink"/>
            <w:rFonts w:ascii="Times New Roman" w:hAnsi="Times New Roman"/>
            <w:b w:val="false"/>
            <w:i w:val="false"/>
            <w:color w:val="000000"/>
            <w:sz w:val="22"/>
          </w:rPr>
          <w:t>68A.201(2)</w:t>
        </w:r>
      </w:hyperlink>
      <w:r>
        <w:rPr>
          <w:rFonts w:ascii="Times New Roman" w:hAnsi="Times New Roman"/>
          <w:b w:val="false"/>
          <w:i/>
          <w:color w:val="000000"/>
          <w:sz w:val="22"/>
        </w:rPr>
        <w:t>“a.”</w:t>
      </w:r>
      <w:r>
        <w:rPr>
          <w:rFonts w:ascii="Times New Roman" w:hAnsi="Times New Roman"/>
          <w:b w:val="false"/>
          <w:i w:val="false"/>
          <w:color w:val="000000"/>
          <w:sz w:val="22"/>
        </w:rPr>
        <w:t xml:space="preserve"> A committee duplicating the name of another organized committee shall choose a new committee name upon notification from the board. A candidate who files an amended statement of organization to reflect a change in office sought shall not be required to change the name of the candidate’s committee unless the committee’s name duplicates the name of another organized committee. A committee shall not duplicate the name of a dissolved committee for a period of ten years after the dissolved committee is certified as being dissolved except when the candidate for both committees is the same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color w:val="000000"/>
          <w:sz w:val="22"/>
        </w:rPr>
        <w:t xml:space="preserve">Candidate’s surname required in committee name. </w:t>
      </w:r>
      <w:r>
        <w:rPr>
          <w:rFonts w:ascii="Times New Roman" w:hAnsi="Times New Roman"/>
          <w:b w:val="false"/>
          <w:i w:val="false"/>
          <w:color w:val="000000"/>
          <w:sz w:val="22"/>
        </w:rPr>
        <w:t>A candidate filing a statement of organization on or after July 1, 1995, shall include the candidate’s surname within the committee name. This requirement also applies to a new candidate’s committee organized by a candidate who has a preexisting candidate’s committee but who organizes a new candidate’s committee or files an amended statement of organization.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68A.201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7646B</w:t>
      </w:r>
      <w:r>
        <w:rPr>
          <w:rFonts w:ascii="Times New Roman" w:hAnsi="Times New Roman"/>
          <w:b w:val="false"/>
          <w:i w:val="false"/>
          <w:color w:val="000000"/>
          <w:sz w:val="16"/>
        </w:rPr>
        <w:t>, IAB 3/25/09, effective 4/29/09</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351—4.3</w:t>
      </w:r>
      <w:r>
        <w:rPr>
          <w:rFonts w:ascii="Times New Roman" w:hAnsi="Times New Roman"/>
          <w:b/>
          <w:i w:val="false"/>
          <w:color w:val="000000"/>
          <w:sz w:val="22"/>
        </w:rPr>
        <w:t xml:space="preserve">(68A,68B) </w:t>
      </w:r>
      <w:r>
        <w:rPr>
          <w:rFonts w:ascii="Times New Roman" w:hAnsi="Times New Roman"/>
          <w:b/>
          <w:i w:val="false"/>
          <w:color w:val="000000"/>
          <w:sz w:val="22"/>
        </w:rPr>
        <w:t xml:space="preserve">Information required: committee purpose; party affiliation.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Committee purpose. </w:t>
      </w:r>
      <w:r>
        <w:rPr>
          <w:rFonts w:ascii="Times New Roman" w:hAnsi="Times New Roman"/>
          <w:b w:val="false"/>
          <w:i w:val="false"/>
          <w:color w:val="000000"/>
          <w:sz w:val="22"/>
        </w:rPr>
        <w:t>An organized campaign committee shall identify the purpose of the committee on the statement of organization. The purpose shall be indicated in part by designating the committee as one of the following types of committees:</w:t>
      </w:r>
    </w:p>
    <w:p>
      <w:pPr>
        <w:spacing w:before="0" w:after="0"/>
        <w:ind w:left="120"/>
        <w:jc w:val="both"/>
      </w:pPr>
      <w:r>
        <w:rPr>
          <w:rFonts w:ascii="Times New Roman" w:hAnsi="Times New Roman"/>
          <w:b w:val="false"/>
          <w:i w:val="false"/>
          <w:color w:val="000000"/>
          <w:sz w:val="22"/>
        </w:rPr>
        <w:t>Type 1 - A candidate’s committee for a statewide or legislative candidate or a judge standing for retention. This type of committee is referred to as a state candidate’s committee.</w:t>
      </w:r>
    </w:p>
    <w:p>
      <w:pPr>
        <w:spacing w:before="0" w:after="0"/>
        <w:ind w:left="120"/>
        <w:jc w:val="both"/>
      </w:pPr>
      <w:r>
        <w:rPr>
          <w:rFonts w:ascii="Times New Roman" w:hAnsi="Times New Roman"/>
          <w:b w:val="false"/>
          <w:i w:val="false"/>
          <w:color w:val="000000"/>
          <w:sz w:val="22"/>
        </w:rPr>
        <w:t>Type 2 - A political committee that expressly advocates for or against candidates at the state level. This type of committee is referred to as a statewide PAC.</w:t>
      </w:r>
    </w:p>
    <w:p>
      <w:pPr>
        <w:spacing w:before="0" w:after="0"/>
        <w:ind w:left="120"/>
        <w:jc w:val="both"/>
      </w:pPr>
      <w:r>
        <w:rPr>
          <w:rFonts w:ascii="Times New Roman" w:hAnsi="Times New Roman"/>
          <w:b w:val="false"/>
          <w:i w:val="false"/>
          <w:color w:val="000000"/>
          <w:sz w:val="22"/>
        </w:rPr>
        <w:t>Type 3 - A state statutory political committee. This type of committee is referred to as a state party.</w:t>
      </w:r>
    </w:p>
    <w:p>
      <w:pPr>
        <w:spacing w:before="0" w:after="0"/>
        <w:ind w:left="120"/>
        <w:jc w:val="both"/>
      </w:pPr>
      <w:r>
        <w:rPr>
          <w:rFonts w:ascii="Times New Roman" w:hAnsi="Times New Roman"/>
          <w:b w:val="false"/>
          <w:i w:val="false"/>
          <w:color w:val="000000"/>
          <w:sz w:val="22"/>
        </w:rPr>
        <w:t>Type 4 - A county statutory political committee. This type of committee is referred to as a county central committee.</w:t>
      </w:r>
    </w:p>
    <w:p>
      <w:pPr>
        <w:spacing w:before="0" w:after="0"/>
        <w:ind w:left="120"/>
        <w:jc w:val="both"/>
      </w:pPr>
      <w:r>
        <w:rPr>
          <w:rFonts w:ascii="Times New Roman" w:hAnsi="Times New Roman"/>
          <w:b w:val="false"/>
          <w:i w:val="false"/>
          <w:color w:val="000000"/>
          <w:sz w:val="22"/>
        </w:rPr>
        <w:t>Type 5 - A candidate’s committee for a candidate seeking county office. This type of committee is referred to as a county candidate’s committee.</w:t>
      </w:r>
    </w:p>
    <w:p>
      <w:pPr>
        <w:spacing w:before="0" w:after="0"/>
        <w:ind w:left="120"/>
        <w:jc w:val="both"/>
      </w:pPr>
      <w:r>
        <w:rPr>
          <w:rFonts w:ascii="Times New Roman" w:hAnsi="Times New Roman"/>
          <w:b w:val="false"/>
          <w:i w:val="false"/>
          <w:color w:val="000000"/>
          <w:sz w:val="22"/>
        </w:rPr>
        <w:t>Type 6 - A candidate’s committee for a candidate seeking city office. This type of committee is referred to as a city candidate’s committee.</w:t>
      </w:r>
    </w:p>
    <w:p>
      <w:pPr>
        <w:spacing w:before="0" w:after="0"/>
        <w:ind w:left="120"/>
        <w:jc w:val="both"/>
      </w:pPr>
      <w:r>
        <w:rPr>
          <w:rFonts w:ascii="Times New Roman" w:hAnsi="Times New Roman"/>
          <w:b w:val="false"/>
          <w:i w:val="false"/>
          <w:color w:val="000000"/>
          <w:sz w:val="22"/>
        </w:rPr>
        <w:t>Type 7 - A candidate’s committee for a candidate seeking school board or other political subdivision office except for a county or city office. This type of committee is referred to as a school board or other political subdivision candidate’s committee.</w:t>
      </w:r>
    </w:p>
    <w:p>
      <w:pPr>
        <w:spacing w:before="0" w:after="0"/>
        <w:ind w:left="120"/>
        <w:jc w:val="both"/>
      </w:pPr>
      <w:r>
        <w:rPr>
          <w:rFonts w:ascii="Times New Roman" w:hAnsi="Times New Roman"/>
          <w:b w:val="false"/>
          <w:i w:val="false"/>
          <w:color w:val="000000"/>
          <w:sz w:val="22"/>
        </w:rPr>
        <w:t>Type 8 - A political committee that expressly advocates for or against candidates for county office. This type of committee is referred to as a county PAC.</w:t>
      </w:r>
    </w:p>
    <w:p>
      <w:pPr>
        <w:spacing w:before="0" w:after="0"/>
        <w:ind w:left="120"/>
        <w:jc w:val="both"/>
      </w:pPr>
      <w:r>
        <w:rPr>
          <w:rFonts w:ascii="Times New Roman" w:hAnsi="Times New Roman"/>
          <w:b w:val="false"/>
          <w:i w:val="false"/>
          <w:color w:val="000000"/>
          <w:sz w:val="22"/>
        </w:rPr>
        <w:t>Type 9 - A political committee that expressly advocates for or against candidates for city office. This type of committee is referred to as a city PAC.</w:t>
      </w:r>
    </w:p>
    <w:p>
      <w:pPr>
        <w:spacing w:before="0" w:after="0"/>
        <w:ind w:left="120"/>
        <w:jc w:val="both"/>
      </w:pPr>
      <w:r>
        <w:rPr>
          <w:rFonts w:ascii="Times New Roman" w:hAnsi="Times New Roman"/>
          <w:b w:val="false"/>
          <w:i w:val="false"/>
          <w:color w:val="000000"/>
          <w:sz w:val="22"/>
        </w:rPr>
        <w:t>Type 10 - A political committee that expressly advocates for or against candidates for school board or other political subdivision except for county or city candidates. This type of committee is referred to as a school board or other political subdivision PAC.</w:t>
      </w:r>
    </w:p>
    <w:p>
      <w:pPr>
        <w:spacing w:before="0" w:after="0"/>
        <w:ind w:left="120"/>
        <w:jc w:val="both"/>
      </w:pPr>
      <w:r>
        <w:rPr>
          <w:rFonts w:ascii="Times New Roman" w:hAnsi="Times New Roman"/>
          <w:b w:val="false"/>
          <w:i w:val="false"/>
          <w:color w:val="000000"/>
          <w:sz w:val="22"/>
        </w:rPr>
        <w:t>Type 11 - A political committee that expressly advocates for the passage or defeat of a ballot issue, franchise election, or referendum conducted for a county, city, school, or other political subdivision ballot question. This type of committee is referred to as a ballot issue committee. This type of committee also includes a political committee that expressly advocates for or against a statewide ballot issue (constitutional amendment) or a political committee that expressly advocates for or against ballot issue questions in multiple cities or counties.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Party affiliation. </w:t>
      </w:r>
      <w:r>
        <w:rPr>
          <w:rFonts w:ascii="Times New Roman" w:hAnsi="Times New Roman"/>
          <w:b w:val="false"/>
          <w:i w:val="false"/>
          <w:color w:val="000000"/>
          <w:sz w:val="22"/>
        </w:rPr>
        <w:t>A candidate’s committee is deemed to be established to expressly advocate the election of a candidate for public office. Each candidate’s committee shall designate the political affiliation of the candidate. Any other committee shall designate that it is either established to expressly advocate the election or defeat of candidates or the passage or defeat of a ballot issue.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68A.201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8289B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351—4.4</w:t>
      </w:r>
      <w:r>
        <w:rPr>
          <w:rFonts w:ascii="Times New Roman" w:hAnsi="Times New Roman"/>
          <w:b/>
          <w:i w:val="false"/>
          <w:color w:val="000000"/>
          <w:sz w:val="22"/>
        </w:rPr>
        <w:t xml:space="preserve">(68A,68B) </w:t>
      </w:r>
      <w:r>
        <w:rPr>
          <w:rFonts w:ascii="Times New Roman" w:hAnsi="Times New Roman"/>
          <w:b/>
          <w:i w:val="false"/>
          <w:color w:val="000000"/>
          <w:sz w:val="22"/>
        </w:rPr>
        <w:t xml:space="preserve">Information required: officers; committee information; signatures.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w:t>
      </w:r>
      <w:r>
        <w:rPr>
          <w:rFonts w:ascii="Times New Roman" w:hAnsi="Times New Roman"/>
          <w:b w:val="false"/>
          <w:i w:val="false"/>
          <w:color w:val="000000"/>
          <w:sz w:val="22"/>
        </w:rPr>
        <w:t> </w:t>
      </w:r>
      <w:r>
        <w:rPr>
          <w:rFonts w:ascii="Times New Roman" w:hAnsi="Times New Roman"/>
          <w:b w:val="false"/>
          <w:i/>
          <w:color w:val="000000"/>
          <w:sz w:val="22"/>
        </w:rPr>
        <w:t xml:space="preserve">Committee officers. </w:t>
      </w:r>
      <w:r>
        <w:rPr>
          <w:rFonts w:ascii="Times New Roman" w:hAnsi="Times New Roman"/>
          <w:b w:val="false"/>
          <w:i w:val="false"/>
          <w:color w:val="000000"/>
          <w:sz w:val="22"/>
        </w:rPr>
        <w:t>The committee shall disclose on the statement of organization the name, mailing address, telephone number, and office of each committee officer whom the committee is required by statute to appoint. Each candidate’s committee shall appoint a treasurer who shall be an Iowa resident and at least 18 years of age. Every other committee shall appoint a separate treasurer and chairperson, each of whom shall be at least 18 years of age. The committee may appoint other officers not required by statute without restriction on residency or age, and the committee is not required to disclose these officers. Except for a candidate’s committee, every committee shall either have an Iowa resident as treasurer or shall maintain all of the committee’s funds in bank accounts in a financial institution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4.4(2)</w:t>
      </w:r>
      <w:r>
        <w:rPr>
          <w:rFonts w:ascii="Times New Roman" w:hAnsi="Times New Roman"/>
          <w:b w:val="false"/>
          <w:i w:val="false"/>
          <w:color w:val="000000"/>
          <w:sz w:val="22"/>
        </w:rPr>
        <w:t> </w:t>
      </w:r>
      <w:r>
        <w:rPr>
          <w:rFonts w:ascii="Times New Roman" w:hAnsi="Times New Roman"/>
          <w:b w:val="false"/>
          <w:i/>
          <w:color w:val="000000"/>
          <w:sz w:val="22"/>
        </w:rPr>
        <w:t xml:space="preserve">Committee address and telephone number. </w:t>
      </w:r>
      <w:r>
        <w:rPr>
          <w:rFonts w:ascii="Times New Roman" w:hAnsi="Times New Roman"/>
          <w:b w:val="false"/>
          <w:i w:val="false"/>
          <w:color w:val="000000"/>
          <w:sz w:val="22"/>
        </w:rPr>
        <w:t>The address and telephone number of the candidate as indicated on the statement of organization shall be the official address and telephone number to be used for communication from the board to the candidate’s committee. The address and telephone number of the committee chairperson as indicated on the statement of organization shall be the official address and telephone number to be used for communication from the board to every other committee except for a candidate’s committee. If an electronic mail address has been provided on the statement of organization, communication from the board to a committee shall be sent by electronic mail.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4.4(3)</w:t>
      </w:r>
      <w:r>
        <w:rPr>
          <w:rFonts w:ascii="Times New Roman" w:hAnsi="Times New Roman"/>
          <w:b w:val="false"/>
          <w:i w:val="false"/>
          <w:color w:val="000000"/>
          <w:sz w:val="22"/>
        </w:rPr>
        <w:t> </w:t>
      </w:r>
      <w:r>
        <w:rPr>
          <w:rFonts w:ascii="Times New Roman" w:hAnsi="Times New Roman"/>
          <w:b w:val="false"/>
          <w:i/>
          <w:color w:val="000000"/>
          <w:sz w:val="22"/>
        </w:rPr>
        <w:t xml:space="preserve">Signatures. </w:t>
      </w:r>
      <w:r>
        <w:rPr>
          <w:rFonts w:ascii="Times New Roman" w:hAnsi="Times New Roman"/>
          <w:b w:val="false"/>
          <w:i w:val="false"/>
          <w:color w:val="000000"/>
          <w:sz w:val="22"/>
        </w:rPr>
        <w:t>A statement of organization filed electronically using the board’s website is deemed signed when filed.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68A.201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351—4.5</w:t>
      </w:r>
      <w:r>
        <w:rPr>
          <w:rFonts w:ascii="Times New Roman" w:hAnsi="Times New Roman"/>
          <w:b/>
          <w:i w:val="false"/>
          <w:color w:val="000000"/>
          <w:sz w:val="22"/>
        </w:rPr>
        <w:t xml:space="preserve">(68A,68B) </w:t>
      </w:r>
      <w:r>
        <w:rPr>
          <w:rFonts w:ascii="Times New Roman" w:hAnsi="Times New Roman"/>
          <w:b/>
          <w:i w:val="false"/>
          <w:color w:val="000000"/>
          <w:sz w:val="22"/>
        </w:rPr>
        <w:t xml:space="preserve">Segregation and timely deposit of funds; information required: identification of financial institution, account name; notice to treasurer.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w:t>
      </w:r>
      <w:r>
        <w:rPr>
          <w:rFonts w:ascii="Times New Roman" w:hAnsi="Times New Roman"/>
          <w:b w:val="false"/>
          <w:i w:val="false"/>
          <w:color w:val="000000"/>
          <w:sz w:val="22"/>
        </w:rPr>
        <w:t> </w:t>
      </w:r>
      <w:r>
        <w:rPr>
          <w:rFonts w:ascii="Times New Roman" w:hAnsi="Times New Roman"/>
          <w:b w:val="false"/>
          <w:i/>
          <w:color w:val="000000"/>
          <w:sz w:val="22"/>
        </w:rPr>
        <w:t xml:space="preserve">Segregation and deposit of funds. </w:t>
      </w:r>
      <w:r>
        <w:rPr>
          <w:rFonts w:ascii="Times New Roman" w:hAnsi="Times New Roman"/>
          <w:b w:val="false"/>
          <w:i w:val="false"/>
          <w:color w:val="000000"/>
          <w:sz w:val="22"/>
        </w:rPr>
        <w:t>All committee funds shall be maintained in a financial institution and shall be segregated from any other funds held by a candidate, officer, member, or associate of the committee. The committee treasurer shall deposit all contributions within seven days of receipt by the treasurer in an account maintained by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w:t>
      </w:r>
      <w:r>
        <w:rPr>
          <w:rFonts w:ascii="Times New Roman" w:hAnsi="Times New Roman"/>
          <w:b w:val="false"/>
          <w:i w:val="false"/>
          <w:color w:val="000000"/>
          <w:sz w:val="22"/>
        </w:rPr>
        <w:t> </w:t>
      </w:r>
      <w:r>
        <w:rPr>
          <w:rFonts w:ascii="Times New Roman" w:hAnsi="Times New Roman"/>
          <w:b w:val="false"/>
          <w:i/>
          <w:color w:val="000000"/>
          <w:sz w:val="22"/>
        </w:rPr>
        <w:t xml:space="preserve">Exception from segregation of committee funds. </w:t>
      </w:r>
      <w:r>
        <w:rPr>
          <w:rFonts w:ascii="Times New Roman" w:hAnsi="Times New Roman"/>
          <w:b w:val="false"/>
          <w:i w:val="false"/>
          <w:color w:val="000000"/>
          <w:sz w:val="22"/>
        </w:rPr>
        <w:t>A candidate’s committee that receives contributions only from the candidate is not required to maintain a separate account. A permanent organization temporarily engaging in activity that qualifies it as a political committee that uses existing general operating funds and does not solicit or receive funds from other sources for campaign purposes is not required to maintain a separate account.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financial institution and account. </w:t>
      </w:r>
      <w:r>
        <w:rPr>
          <w:rFonts w:ascii="Times New Roman" w:hAnsi="Times New Roman"/>
          <w:b w:val="false"/>
          <w:i w:val="false"/>
          <w:color w:val="000000"/>
          <w:sz w:val="22"/>
        </w:rPr>
        <w:t>The committee shall disclose on the committee’s statement of organization the name and mailing address of all financial institutions in which committee funds are maintained. The committee shall also disclose the name and type of all accounts in which committee funds are maintained, and the name of any such account shall be the same as the committee name on the statement of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w:t>
      </w:r>
      <w:r>
        <w:rPr>
          <w:rFonts w:ascii="Times New Roman" w:hAnsi="Times New Roman"/>
          <w:b w:val="false"/>
          <w:i w:val="false"/>
          <w:color w:val="000000"/>
          <w:sz w:val="22"/>
        </w:rPr>
        <w:t> </w:t>
      </w:r>
      <w:r>
        <w:rPr>
          <w:rFonts w:ascii="Times New Roman" w:hAnsi="Times New Roman"/>
          <w:b w:val="false"/>
          <w:i/>
          <w:color w:val="000000"/>
          <w:sz w:val="22"/>
        </w:rPr>
        <w:t xml:space="preserve">Notice to treasurer. </w:t>
      </w:r>
      <w:r>
        <w:rPr>
          <w:rFonts w:ascii="Times New Roman" w:hAnsi="Times New Roman"/>
          <w:b w:val="false"/>
          <w:i w:val="false"/>
          <w:color w:val="000000"/>
          <w:sz w:val="22"/>
        </w:rPr>
        <w:t xml:space="preserve">Any person who receives contributions for a committee shall render the contributions to the treasurer within 15 days of receipt and provide the committee treasurer with the reporting information required by Iowa Code Supplement section </w:t>
      </w:r>
      <w:hyperlink r:id="rId23">
        <w:r>
          <w:rPr>
            <w:rStyle w:val="Hyperlink"/>
            <w:rFonts w:ascii="Times New Roman" w:hAnsi="Times New Roman"/>
            <w:b w:val="false"/>
            <w:i w:val="false"/>
            <w:color w:val="000000"/>
            <w:sz w:val="22"/>
          </w:rPr>
          <w:t>68A.203(2)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
        <w:r>
          <w:rPr>
            <w:rStyle w:val="Hyperlink"/>
            <w:rFonts w:ascii="Times New Roman" w:hAnsi="Times New Roman"/>
            <w:b w:val="false"/>
            <w:i w:val="false"/>
            <w:color w:val="000000"/>
            <w:sz w:val="22"/>
          </w:rPr>
          <w:t>68A.201</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68A.203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351—4.6</w:t>
      </w:r>
      <w:r>
        <w:rPr>
          <w:rFonts w:ascii="Times New Roman" w:hAnsi="Times New Roman"/>
          <w:b/>
          <w:i w:val="false"/>
          <w:color w:val="000000"/>
          <w:sz w:val="22"/>
        </w:rPr>
        <w:t xml:space="preserve">(68A,68B) </w:t>
      </w:r>
      <w:r>
        <w:rPr>
          <w:rFonts w:ascii="Times New Roman" w:hAnsi="Times New Roman"/>
          <w:b/>
          <w:i w:val="false"/>
          <w:color w:val="000000"/>
          <w:sz w:val="22"/>
        </w:rPr>
        <w:t xml:space="preserve">Amendments to statement of organization; requirement for new statement of organization for new office sought.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color w:val="000000"/>
          <w:sz w:val="22"/>
        </w:rPr>
        <w:t xml:space="preserve">Amendment within 30 days. </w:t>
      </w:r>
      <w:r>
        <w:rPr>
          <w:rFonts w:ascii="Times New Roman" w:hAnsi="Times New Roman"/>
          <w:b w:val="false"/>
          <w:i w:val="false"/>
          <w:color w:val="000000"/>
          <w:sz w:val="22"/>
        </w:rPr>
        <w:t xml:space="preserve">If there is a change in any of the information disclosed on a statement of organization, the committee shall file with the board an amended statement within 30 days of the change. An amended statement shall be filed with the board in a format as required by Iowa Code section </w:t>
      </w:r>
      <w:hyperlink r:id="rId26">
        <w:r>
          <w:rPr>
            <w:rStyle w:val="Hyperlink"/>
            <w:rFonts w:ascii="Times New Roman" w:hAnsi="Times New Roman"/>
            <w:b w:val="false"/>
            <w:i w:val="false"/>
            <w:color w:val="000000"/>
            <w:sz w:val="22"/>
          </w:rPr>
          <w:t>68A.401</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color w:val="000000"/>
          <w:sz w:val="22"/>
        </w:rPr>
        <w:t xml:space="preserve">New office sought. </w:t>
      </w:r>
      <w:r>
        <w:rPr>
          <w:rFonts w:ascii="Times New Roman" w:hAnsi="Times New Roman"/>
          <w:b w:val="false"/>
          <w:i w:val="false"/>
          <w:color w:val="000000"/>
          <w:sz w:val="22"/>
        </w:rPr>
        <w:t xml:space="preserve">A candidate who filed a statement of organization for one office but eventually seeks another office may file an amended statement of organization to reflect the change in office sought in lieu of dissolving the old committee and organizing a new committee. A candidate filing an amended statement of organization for a new office shall continue to file the required campaign reports regardless of whether the $1,000 financial filing threshold for the new office has been exceeded. A candidate who has filed a statement of organization for one office and who then exceeds the financial activity threshold as set forth in Iowa Code section </w:t>
      </w:r>
      <w:hyperlink r:id="rId27">
        <w:r>
          <w:rPr>
            <w:rStyle w:val="Hyperlink"/>
            <w:rFonts w:ascii="Times New Roman" w:hAnsi="Times New Roman"/>
            <w:b w:val="false"/>
            <w:i w:val="false"/>
            <w:color w:val="000000"/>
            <w:sz w:val="22"/>
          </w:rPr>
          <w:t>68A.102(5)</w:t>
        </w:r>
      </w:hyperlink>
      <w:r>
        <w:rPr>
          <w:rFonts w:ascii="Times New Roman" w:hAnsi="Times New Roman"/>
          <w:b w:val="false"/>
          <w:i w:val="false"/>
          <w:color w:val="000000"/>
          <w:sz w:val="22"/>
        </w:rPr>
        <w:t xml:space="preserve"> for a new office shall, within ten days of exceeding the threshold, file either an amended statement of organization disclosing information for the new office sought or organize and register a new committee.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68A.201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8787B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REPORTING AND FINANCIAL TRANSACTION REQUIREMENTS</w:t>
      </w:r>
    </w:p>
    <w:p>
      <w:pPr>
        <w:spacing w:before="0" w:after="0"/>
        <w:ind w:left="120"/>
        <w:jc w:val="both"/>
      </w:pPr>
      <w:r>
        <w:rPr>
          <w:rFonts w:ascii="Times New Roman" w:hAnsi="Times New Roman"/>
          <w:b/>
          <w:i w:val="false"/>
          <w:color w:val="000000"/>
          <w:sz w:val="22"/>
        </w:rPr>
        <w:t>351—4.7</w:t>
      </w:r>
      <w:r>
        <w:rPr>
          <w:rFonts w:ascii="Times New Roman" w:hAnsi="Times New Roman"/>
          <w:b/>
          <w:i w:val="false"/>
          <w:color w:val="000000"/>
          <w:sz w:val="22"/>
        </w:rPr>
        <w:t xml:space="preserve">(68A,68B) </w:t>
      </w:r>
      <w:r>
        <w:rPr>
          <w:rFonts w:ascii="Times New Roman" w:hAnsi="Times New Roman"/>
          <w:b/>
          <w:i w:val="false"/>
          <w:color w:val="000000"/>
          <w:sz w:val="22"/>
        </w:rPr>
        <w:t xml:space="preserve">Disclosure reporting required; information on initial report; minimum filing if no activity.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4.7(1)</w:t>
      </w:r>
      <w:r>
        <w:rPr>
          <w:rFonts w:ascii="Times New Roman" w:hAnsi="Times New Roman"/>
          <w:b w:val="false"/>
          <w:i w:val="false"/>
          <w:color w:val="000000"/>
          <w:sz w:val="22"/>
        </w:rPr>
        <w:t> </w:t>
      </w:r>
      <w:r>
        <w:rPr>
          <w:rFonts w:ascii="Times New Roman" w:hAnsi="Times New Roman"/>
          <w:b w:val="false"/>
          <w:i/>
          <w:color w:val="000000"/>
          <w:sz w:val="22"/>
        </w:rPr>
        <w:t xml:space="preserve">Disclosure reporting required. </w:t>
      </w:r>
      <w:r>
        <w:rPr>
          <w:rFonts w:ascii="Times New Roman" w:hAnsi="Times New Roman"/>
          <w:b w:val="false"/>
          <w:i w:val="false"/>
          <w:color w:val="000000"/>
          <w:sz w:val="22"/>
        </w:rPr>
        <w:t xml:space="preserve">Every committee that has filed a statement of organization under Iowa Code section </w:t>
      </w:r>
      <w:hyperlink r:id="rId29">
        <w:r>
          <w:rPr>
            <w:rStyle w:val="Hyperlink"/>
            <w:rFonts w:ascii="Times New Roman" w:hAnsi="Times New Roman"/>
            <w:b w:val="false"/>
            <w:i w:val="false"/>
            <w:color w:val="000000"/>
            <w:sz w:val="22"/>
          </w:rPr>
          <w:t>68A.201</w:t>
        </w:r>
      </w:hyperlink>
      <w:r>
        <w:rPr>
          <w:rFonts w:ascii="Times New Roman" w:hAnsi="Times New Roman"/>
          <w:b w:val="false"/>
          <w:i w:val="false"/>
          <w:color w:val="000000"/>
          <w:sz w:val="22"/>
        </w:rPr>
        <w:t xml:space="preserve"> and rule </w:t>
      </w:r>
      <w:hyperlink r:id="rId30">
        <w:r>
          <w:rPr>
            <w:rStyle w:val="Hyperlink"/>
            <w:rFonts w:ascii="Times New Roman" w:hAnsi="Times New Roman"/>
            <w:b w:val="false"/>
            <w:i w:val="false"/>
            <w:color w:val="000000"/>
            <w:sz w:val="22"/>
          </w:rPr>
          <w:t>351—4.1</w:t>
        </w:r>
      </w:hyperlink>
      <w:r>
        <w:rPr>
          <w:rFonts w:ascii="Times New Roman" w:hAnsi="Times New Roman"/>
          <w:b w:val="false"/>
          <w:i w:val="false"/>
          <w:color w:val="000000"/>
          <w:sz w:val="22"/>
        </w:rPr>
        <w:t xml:space="preserve">(68A,68B), has exceeded the financial activity threshold set out in Iowa Code section </w:t>
      </w:r>
      <w:hyperlink r:id="rId31">
        <w:r>
          <w:rPr>
            <w:rStyle w:val="Hyperlink"/>
            <w:rFonts w:ascii="Times New Roman" w:hAnsi="Times New Roman"/>
            <w:b w:val="false"/>
            <w:i w:val="false"/>
            <w:color w:val="000000"/>
            <w:sz w:val="22"/>
          </w:rPr>
          <w:t>68A.102(5)</w:t>
        </w:r>
      </w:hyperlink>
      <w:r>
        <w:rPr>
          <w:rFonts w:ascii="Times New Roman" w:hAnsi="Times New Roman"/>
          <w:b w:val="false"/>
          <w:i w:val="false"/>
          <w:color w:val="000000"/>
          <w:sz w:val="22"/>
        </w:rPr>
        <w:t xml:space="preserve"> or (18) prior to the cutoff date for reporting campaign transactions, or has made an independent expenditure shall file a campaign disclosure report pursuant to Iowa Code section </w:t>
      </w:r>
      <w:hyperlink r:id="rId32">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 Form Ind-Exp-O shall serve as a campaign disclosure report for an independent expenditure committee. Form Ind-Exp-I shall serve as a campaign disclosure report for a sole individual making an independent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4.7(2)</w:t>
      </w:r>
      <w:r>
        <w:rPr>
          <w:rFonts w:ascii="Times New Roman" w:hAnsi="Times New Roman"/>
          <w:b w:val="false"/>
          <w:i w:val="false"/>
          <w:color w:val="000000"/>
          <w:sz w:val="22"/>
        </w:rPr>
        <w:t> </w:t>
      </w:r>
      <w:r>
        <w:rPr>
          <w:rFonts w:ascii="Times New Roman" w:hAnsi="Times New Roman"/>
          <w:b w:val="false"/>
          <w:i/>
          <w:color w:val="000000"/>
          <w:sz w:val="22"/>
        </w:rPr>
        <w:t xml:space="preserve">Information on initial report. </w:t>
      </w:r>
      <w:r>
        <w:rPr>
          <w:rFonts w:ascii="Times New Roman" w:hAnsi="Times New Roman"/>
          <w:b w:val="false"/>
          <w:i w:val="false"/>
          <w:color w:val="000000"/>
          <w:sz w:val="22"/>
        </w:rPr>
        <w:t>The first disclosure report filed by a committee shall include the relevant financial information covering the period from the beginning of the committee’s financial activity through the end of the current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4.7(3)</w:t>
      </w:r>
      <w:r>
        <w:rPr>
          <w:rFonts w:ascii="Times New Roman" w:hAnsi="Times New Roman"/>
          <w:b w:val="false"/>
          <w:i w:val="false"/>
          <w:color w:val="000000"/>
          <w:sz w:val="22"/>
        </w:rPr>
        <w:t> </w:t>
      </w:r>
      <w:r>
        <w:rPr>
          <w:rFonts w:ascii="Times New Roman" w:hAnsi="Times New Roman"/>
          <w:b w:val="false"/>
          <w:i/>
          <w:color w:val="000000"/>
          <w:sz w:val="22"/>
        </w:rPr>
        <w:t xml:space="preserve">Funds available from prior committee. </w:t>
      </w:r>
      <w:r>
        <w:rPr>
          <w:rFonts w:ascii="Times New Roman" w:hAnsi="Times New Roman"/>
          <w:b w:val="false"/>
          <w:i w:val="false"/>
          <w:color w:val="000000"/>
          <w:sz w:val="22"/>
        </w:rPr>
        <w:t>If funds are available to a candidate’s committee from a prior candidacy of that candidate, or to a ballot issue committee from a prior effort on a ballot issue, and the prior candidacy or effort had not exceeded the financial reporting threshold, the carryover balance shall be disclosed by the new committee. The disclosure shall be made on Schedule A - Contributions and shall include the amount of the carryover, the date of the prior election, and the name and address of any source that made contributions to the candidacy or ballot effort that totaled more than $1,000 during the preceding three calendar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4.7(4)</w:t>
      </w:r>
      <w:r>
        <w:rPr>
          <w:rFonts w:ascii="Times New Roman" w:hAnsi="Times New Roman"/>
          <w:b w:val="false"/>
          <w:i w:val="false"/>
          <w:color w:val="000000"/>
          <w:sz w:val="22"/>
        </w:rPr>
        <w:t> </w:t>
      </w:r>
      <w:r>
        <w:rPr>
          <w:rFonts w:ascii="Times New Roman" w:hAnsi="Times New Roman"/>
          <w:b w:val="false"/>
          <w:i/>
          <w:color w:val="000000"/>
          <w:sz w:val="22"/>
        </w:rPr>
        <w:t xml:space="preserve">Funds available from preballot issue activity. </w:t>
      </w:r>
      <w:r>
        <w:rPr>
          <w:rFonts w:ascii="Times New Roman" w:hAnsi="Times New Roman"/>
          <w:b w:val="false"/>
          <w:i w:val="false"/>
          <w:color w:val="000000"/>
          <w:sz w:val="22"/>
        </w:rPr>
        <w:t xml:space="preserve">Funds that are raised for an activity that is not included in the definition of a ballot issue in Iowa Code section </w:t>
      </w:r>
      <w:hyperlink r:id="rId33">
        <w:r>
          <w:rPr>
            <w:rStyle w:val="Hyperlink"/>
            <w:rFonts w:ascii="Times New Roman" w:hAnsi="Times New Roman"/>
            <w:b w:val="false"/>
            <w:i w:val="false"/>
            <w:color w:val="000000"/>
            <w:sz w:val="22"/>
          </w:rPr>
          <w:t>68A.102(1)</w:t>
        </w:r>
      </w:hyperlink>
      <w:r>
        <w:rPr>
          <w:rFonts w:ascii="Times New Roman" w:hAnsi="Times New Roman"/>
          <w:b w:val="false"/>
          <w:i w:val="false"/>
          <w:color w:val="000000"/>
          <w:sz w:val="22"/>
        </w:rPr>
        <w:t xml:space="preserve"> and that are made available to a subsequent ballot issue committee shall be disclosed by the committee. The disclosure shall be made on Schedule A - Contributions and shall include the amount of the carryover balance, the date of the preballot issue activity, and the name and address of any source that made contributions to the activity that totaled more than $1,000 during the previous three calendar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4.7(5)</w:t>
      </w:r>
      <w:r>
        <w:rPr>
          <w:rFonts w:ascii="Times New Roman" w:hAnsi="Times New Roman"/>
          <w:b w:val="false"/>
          <w:i w:val="false"/>
          <w:color w:val="000000"/>
          <w:sz w:val="22"/>
        </w:rPr>
        <w:t> </w:t>
      </w:r>
      <w:r>
        <w:rPr>
          <w:rFonts w:ascii="Times New Roman" w:hAnsi="Times New Roman"/>
          <w:b w:val="false"/>
          <w:i/>
          <w:color w:val="000000"/>
          <w:sz w:val="22"/>
        </w:rPr>
        <w:t xml:space="preserve">No financial activity during reporting period. </w:t>
      </w:r>
      <w:r>
        <w:rPr>
          <w:rFonts w:ascii="Times New Roman" w:hAnsi="Times New Roman"/>
          <w:b w:val="false"/>
          <w:i w:val="false"/>
          <w:color w:val="000000"/>
          <w:sz w:val="22"/>
        </w:rPr>
        <w:t xml:space="preserve">A committee that did not have any financial activity during the relevant reporting period for which a disclosure report is due shall be required to file only Form DR-2. However, if the committee had previously disclosed debts or loans, those obligations shall again be disclosed on either Schedule D - Incurred Indebtedness or Schedule F - Loans Received and Repaid, as appropriate, and the schedule or schedules shall be included with Form DR-2. A candidate’s committee that has reportable campaign property under Iowa Code Supplement section </w:t>
      </w:r>
      <w:hyperlink r:id="rId34">
        <w:r>
          <w:rPr>
            <w:rStyle w:val="Hyperlink"/>
            <w:rFonts w:ascii="Times New Roman" w:hAnsi="Times New Roman"/>
            <w:b w:val="false"/>
            <w:i w:val="false"/>
            <w:color w:val="000000"/>
            <w:sz w:val="22"/>
          </w:rPr>
          <w:t>68A.304</w:t>
        </w:r>
      </w:hyperlink>
      <w:r>
        <w:rPr>
          <w:rFonts w:ascii="Times New Roman" w:hAnsi="Times New Roman"/>
          <w:b w:val="false"/>
          <w:i w:val="false"/>
          <w:color w:val="000000"/>
          <w:sz w:val="22"/>
        </w:rPr>
        <w:t xml:space="preserve"> shall disclose the property on Schedule H - Campaign Property and the schedule shall be included with Form DR-2.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5">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8826B</w:t>
      </w:r>
      <w:r>
        <w:rPr>
          <w:rFonts w:ascii="Times New Roman" w:hAnsi="Times New Roman"/>
          <w:b w:val="false"/>
          <w:i w:val="false"/>
          <w:color w:val="000000"/>
          <w:sz w:val="16"/>
        </w:rPr>
        <w:t>, IAB 6/2/10, effective 5/17/10</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351—4.8</w:t>
      </w:r>
      <w:r>
        <w:rPr>
          <w:rFonts w:ascii="Times New Roman" w:hAnsi="Times New Roman"/>
          <w:b/>
          <w:i w:val="false"/>
          <w:color w:val="000000"/>
          <w:sz w:val="22"/>
        </w:rPr>
        <w:t xml:space="preserve">(68A,68B) </w:t>
      </w:r>
      <w:r>
        <w:rPr>
          <w:rFonts w:ascii="Times New Roman" w:hAnsi="Times New Roman"/>
          <w:b/>
          <w:i w:val="false"/>
          <w:color w:val="000000"/>
          <w:sz w:val="22"/>
        </w:rPr>
        <w:t xml:space="preserve">Disclosure reporting required—where reports filed.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4.8(1)</w:t>
      </w:r>
      <w:r>
        <w:rPr>
          <w:rFonts w:ascii="Times New Roman" w:hAnsi="Times New Roman"/>
          <w:b w:val="false"/>
          <w:i w:val="false"/>
          <w:color w:val="000000"/>
          <w:sz w:val="22"/>
        </w:rPr>
        <w:t> </w:t>
      </w:r>
      <w:r>
        <w:rPr>
          <w:rFonts w:ascii="Times New Roman" w:hAnsi="Times New Roman"/>
          <w:b w:val="false"/>
          <w:i/>
          <w:color w:val="000000"/>
          <w:sz w:val="22"/>
        </w:rPr>
        <w:t xml:space="preserve">Place of filing. </w:t>
      </w:r>
      <w:r>
        <w:rPr>
          <w:rFonts w:ascii="Times New Roman" w:hAnsi="Times New Roman"/>
          <w:b w:val="false"/>
          <w:i w:val="false"/>
          <w:color w:val="000000"/>
          <w:sz w:val="22"/>
        </w:rPr>
        <w:t xml:space="preserve">Disclosure reports shall be filed through the board’s website at </w:t>
      </w:r>
      <w:hyperlink r:id="rId36">
        <w:r>
          <w:rPr>
            <w:rStyle w:val="Hyperlink"/>
            <w:rFonts w:ascii="Times New Roman" w:hAnsi="Times New Roman"/>
            <w:b w:val="false"/>
            <w:i w:val="false"/>
            <w:color w:val="000000"/>
            <w:sz w:val="22"/>
            <w:u w:val="single"/>
          </w:rPr>
          <w:t>ethics.iowa.gov</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4.8(2)</w:t>
      </w:r>
      <w:r>
        <w:rPr>
          <w:rFonts w:ascii="Times New Roman" w:hAnsi="Times New Roman"/>
          <w:b w:val="false"/>
          <w:i w:val="false"/>
          <w:color w:val="000000"/>
          <w:sz w:val="22"/>
        </w:rPr>
        <w:t> </w:t>
      </w:r>
      <w:r>
        <w:rPr>
          <w:rFonts w:ascii="Times New Roman" w:hAnsi="Times New Roman"/>
          <w:b w:val="false"/>
          <w:i/>
          <w:color w:val="000000"/>
          <w:sz w:val="22"/>
        </w:rPr>
        <w:t xml:space="preserve">Reports made available. </w:t>
      </w:r>
      <w:r>
        <w:rPr>
          <w:rFonts w:ascii="Times New Roman" w:hAnsi="Times New Roman"/>
          <w:b w:val="false"/>
          <w:i w:val="false"/>
          <w:color w:val="000000"/>
          <w:sz w:val="22"/>
        </w:rPr>
        <w:t xml:space="preserve">The board shall post on its website at </w:t>
      </w:r>
      <w:hyperlink r:id="rId37">
        <w:r>
          <w:rPr>
            <w:rStyle w:val="Hyperlink"/>
            <w:rFonts w:ascii="Times New Roman" w:hAnsi="Times New Roman"/>
            <w:b w:val="false"/>
            <w:i w:val="false"/>
            <w:color w:val="000000"/>
            <w:sz w:val="22"/>
            <w:u w:val="single"/>
          </w:rPr>
          <w:t>ethics.iowa.gov</w:t>
        </w:r>
      </w:hyperlink>
      <w:r>
        <w:rPr>
          <w:rFonts w:ascii="Times New Roman" w:hAnsi="Times New Roman"/>
          <w:b w:val="false"/>
          <w:i w:val="false"/>
          <w:color w:val="000000"/>
          <w:sz w:val="22"/>
        </w:rPr>
        <w:t xml:space="preserve"> all statements and reports filed under Iowa Code chapter </w:t>
      </w:r>
      <w:hyperlink r:id="rId38">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4.8(3)</w:t>
      </w:r>
      <w:r>
        <w:rPr>
          <w:rFonts w:ascii="Times New Roman" w:hAnsi="Times New Roman"/>
          <w:b w:val="false"/>
          <w:i w:val="false"/>
          <w:color w:val="000000"/>
          <w:sz w:val="22"/>
        </w:rPr>
        <w:t> </w:t>
      </w:r>
      <w:r>
        <w:rPr>
          <w:rFonts w:ascii="Times New Roman" w:hAnsi="Times New Roman"/>
          <w:b w:val="false"/>
          <w:i/>
          <w:color w:val="000000"/>
          <w:sz w:val="22"/>
        </w:rPr>
        <w:t xml:space="preserve">Records retention. </w:t>
      </w:r>
      <w:r>
        <w:rPr>
          <w:rFonts w:ascii="Times New Roman" w:hAnsi="Times New Roman"/>
          <w:b w:val="false"/>
          <w:i w:val="false"/>
          <w:color w:val="000000"/>
          <w:sz w:val="22"/>
        </w:rPr>
        <w:t xml:space="preserve">The board shall maintain and retain all statements and reports filed under Iowa Code chapter </w:t>
      </w:r>
      <w:hyperlink r:id="rId39">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under the applicable provisions of Iowa Code chapter </w:t>
      </w:r>
      <w:hyperlink r:id="rId40">
        <w:r>
          <w:rPr>
            <w:rStyle w:val="Hyperlink"/>
            <w:rFonts w:ascii="Times New Roman" w:hAnsi="Times New Roman"/>
            <w:b w:val="false"/>
            <w:i w:val="false"/>
            <w:color w:val="000000"/>
            <w:sz w:val="22"/>
          </w:rPr>
          <w:t>305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4.8(4)</w:t>
      </w:r>
      <w:r>
        <w:rPr>
          <w:rFonts w:ascii="Times New Roman" w:hAnsi="Times New Roman"/>
          <w:b w:val="false"/>
          <w:i w:val="false"/>
          <w:color w:val="000000"/>
          <w:sz w:val="22"/>
        </w:rPr>
        <w:t> </w:t>
      </w:r>
      <w:r>
        <w:rPr>
          <w:rFonts w:ascii="Times New Roman" w:hAnsi="Times New Roman"/>
          <w:b w:val="false"/>
          <w:i/>
          <w:color w:val="000000"/>
          <w:sz w:val="22"/>
        </w:rPr>
        <w:t xml:space="preserve">Electronic format or electronic filing defined. </w:t>
      </w:r>
      <w:r>
        <w:rPr>
          <w:rFonts w:ascii="Times New Roman" w:hAnsi="Times New Roman"/>
          <w:b w:val="false"/>
          <w:i w:val="false"/>
          <w:color w:val="000000"/>
          <w:sz w:val="22"/>
        </w:rPr>
        <w:t xml:space="preserve">“Electronic format” or “electronic filing” means the board’s electronic filing system for submitting campaign disclosure reports via the board’s website at </w:t>
      </w:r>
      <w:hyperlink r:id="rId41">
        <w:r>
          <w:rPr>
            <w:rStyle w:val="Hyperlink"/>
            <w:rFonts w:ascii="Times New Roman" w:hAnsi="Times New Roman"/>
            <w:b w:val="false"/>
            <w:i w:val="false"/>
            <w:color w:val="000000"/>
            <w:sz w:val="22"/>
            <w:u w:val="single"/>
          </w:rPr>
          <w:t>ethics.iowa.gov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
        <w:r>
          <w:rPr>
            <w:rStyle w:val="Hyperlink"/>
            <w:rFonts w:ascii="Times New Roman" w:hAnsi="Times New Roman"/>
            <w:b w:val="false"/>
            <w:i w:val="false"/>
            <w:color w:val="000000"/>
            <w:sz w:val="22"/>
          </w:rPr>
          <w:t>68A.401</w:t>
        </w:r>
      </w:hyperlink>
      <w:r>
        <w:rPr>
          <w:rFonts w:ascii="Times New Roman" w:hAnsi="Times New Roman"/>
          <w:b w:val="false"/>
          <w:i w:val="false"/>
          <w:color w:val="000000"/>
          <w:sz w:val="22"/>
        </w:rPr>
        <w:t xml:space="preserve"> and </w:t>
      </w:r>
      <w:hyperlink r:id="rId43">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7995B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9031B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351—4.9</w:t>
      </w:r>
      <w:r>
        <w:rPr>
          <w:rFonts w:ascii="Times New Roman" w:hAnsi="Times New Roman"/>
          <w:b/>
          <w:i w:val="false"/>
          <w:color w:val="000000"/>
          <w:sz w:val="22"/>
        </w:rPr>
        <w:t xml:space="preserve">(68A) </w:t>
      </w:r>
      <w:r>
        <w:rPr>
          <w:rFonts w:ascii="Times New Roman" w:hAnsi="Times New Roman"/>
          <w:b/>
          <w:i w:val="false"/>
          <w:color w:val="000000"/>
          <w:sz w:val="22"/>
        </w:rPr>
        <w:t xml:space="preserve">Campaign disclosure report due dates.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w:t>
      </w:r>
      <w:r>
        <w:rPr>
          <w:rFonts w:ascii="Times New Roman" w:hAnsi="Times New Roman"/>
          <w:b w:val="false"/>
          <w:i w:val="false"/>
          <w:color w:val="000000"/>
          <w:sz w:val="22"/>
        </w:rPr>
        <w:t> </w:t>
      </w:r>
      <w:r>
        <w:rPr>
          <w:rFonts w:ascii="Times New Roman" w:hAnsi="Times New Roman"/>
          <w:b w:val="false"/>
          <w:i/>
          <w:color w:val="000000"/>
          <w:sz w:val="22"/>
        </w:rPr>
        <w:t xml:space="preserve">Statewide office, general assembly, judge standing for retention. </w:t>
      </w:r>
      <w:r>
        <w:rPr>
          <w:rFonts w:ascii="Times New Roman" w:hAnsi="Times New Roman"/>
          <w:b w:val="false"/>
          <w:i w:val="false"/>
          <w:color w:val="000000"/>
          <w:sz w:val="22"/>
        </w:rPr>
        <w:t>A candidate’s committee of a candidate for statewide office or the general assembly or a judge standing for retention shall file campaign disclosure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year.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May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15 or Wednesday preceding primary election* through July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15 through October 14</w:t>
            </w:r>
          </w:p>
        </w:tc>
      </w:tr>
      <w:tr>
        <w:trPr>
          <w:trHeight w:val="39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376"/>
              <w:jc w:val="left"/>
            </w:pPr>
            <w:r>
              <w:rPr>
                <w:rFonts w:ascii="Times New Roman" w:hAnsi="Times New Roman"/>
                <w:b w:val="false"/>
                <w:i w:val="false"/>
                <w:color w:val="000000"/>
                <w:sz w:val="16"/>
              </w:rPr>
              <w:t>October 15 or Wednesday preceding general election* through December 31 of 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Supplementary report.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Friday preceding primary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15 through Tuesday preceding primary election*</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Friday preceding general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15 through Tuesday preceding general election*</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*If supplementary report required. See subrule </w:t>
            </w:r>
            <w:hyperlink r:id="rId44">
              <w:r>
                <w:rPr>
                  <w:rStyle w:val="Hyperlink"/>
                  <w:rFonts w:ascii="Times New Roman" w:hAnsi="Times New Roman"/>
                  <w:b w:val="false"/>
                  <w:i w:val="false"/>
                  <w:color w:val="000000"/>
                  <w:sz w:val="16"/>
                </w:rPr>
                <w:t>4.9(2)</w:t>
              </w:r>
            </w:hyperlink>
            <w:r>
              <w:rPr>
                <w:rFonts w:ascii="Times New Roman" w:hAnsi="Times New Roman"/>
                <w:b w:val="false"/>
                <w:i w:val="false"/>
                <w:color w:val="000000"/>
                <w:sz w:val="16"/>
              </w:rPr>
              <w:t>.</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Nonelection year.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December 31 of nonelection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Special election.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preceding the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 of initial activity through tenth day prior to the special election</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*This report is in addition to the election year reports required under paragraph </w:t>
            </w:r>
            <w:hyperlink r:id="rId45">
              <w:r>
                <w:rPr>
                  <w:rStyle w:val="Hyperlink"/>
                  <w:rFonts w:ascii="Times New Roman" w:hAnsi="Times New Roman"/>
                  <w:b w:val="false"/>
                  <w:i w:val="false"/>
                  <w:color w:val="000000"/>
                  <w:sz w:val="16"/>
                </w:rPr>
                <w:t>4.9(1)</w:t>
              </w:r>
              <w:r>
                <w:rPr>
                  <w:rFonts w:ascii="Times New Roman" w:hAnsi="Times New Roman"/>
                  <w:b w:val="false"/>
                  <w:i/>
                  <w:color w:val="000000"/>
                  <w:sz w:val="16"/>
                </w:rPr>
                <w:t>“a.”</w:t>
              </w:r>
            </w:hyperlink>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4.9(2)</w:t>
      </w:r>
      <w:r>
        <w:rPr>
          <w:rFonts w:ascii="Times New Roman" w:hAnsi="Times New Roman"/>
          <w:b w:val="false"/>
          <w:i w:val="false"/>
          <w:color w:val="000000"/>
          <w:sz w:val="22"/>
        </w:rPr>
        <w:t> </w:t>
      </w:r>
      <w:r>
        <w:rPr>
          <w:rFonts w:ascii="Times New Roman" w:hAnsi="Times New Roman"/>
          <w:b w:val="false"/>
          <w:i/>
          <w:color w:val="000000"/>
          <w:sz w:val="22"/>
        </w:rPr>
        <w:t xml:space="preserve">Statewide office or general assembly—supplementary reports. </w:t>
      </w:r>
      <w:r>
        <w:rPr>
          <w:rFonts w:ascii="Times New Roman" w:hAnsi="Times New Roman"/>
          <w:b w:val="false"/>
          <w:i w:val="false"/>
          <w:color w:val="000000"/>
          <w:sz w:val="22"/>
        </w:rPr>
        <w:t xml:space="preserve">In addition to reports required under subrule </w:t>
      </w:r>
      <w:hyperlink r:id="rId46">
        <w:r>
          <w:rPr>
            <w:rStyle w:val="Hyperlink"/>
            <w:rFonts w:ascii="Times New Roman" w:hAnsi="Times New Roman"/>
            <w:b w:val="false"/>
            <w:i w:val="false"/>
            <w:color w:val="000000"/>
            <w:sz w:val="22"/>
          </w:rPr>
          <w:t>4.9(1)</w:t>
        </w:r>
      </w:hyperlink>
      <w:r>
        <w:rPr>
          <w:rFonts w:ascii="Times New Roman" w:hAnsi="Times New Roman"/>
          <w:b w:val="false"/>
          <w:i w:val="false"/>
          <w:color w:val="000000"/>
          <w:sz w:val="22"/>
        </w:rPr>
        <w:t>, a supplementary report is required if contributions received during the period beginning on the date of initial financial activity, or the day after the period covered by the last report, as applicable, through the Tuesday preceding the primary or general election equal or exceed the following thresholds:</w:t>
      </w:r>
    </w:p>
    <w:tbl>
      <w:tblPr>
        <w:tblW w:w="5000" w:type="pct"/>
        <w:tblCellSpacing w:w="0" w:type="auto"/>
        <w:tblBorders>
          <w:top w:val="none"/>
          <w:left w:val="none"/>
          <w:bottom w:val="none"/>
          <w:right w:val="none"/>
          <w:insideH w:val="none"/>
          <w:insideV w:val="none"/>
        </w:tblBorders>
        <w:tblLayout w:type="fixed"/>
      </w:tblPr>
      <w:tblGrid>
        <w:gridCol w:w="3973"/>
        <w:gridCol w:w="7217"/>
      </w:tblGrid>
      <w:tr>
        <w:trPr>
          <w:trHeight w:val="210" w:hRule="atLeast"/>
        </w:trPr>
        <w:tc>
          <w:tcPr>
            <w:tcW w:w="3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Office sought</w:t>
            </w:r>
          </w:p>
        </w:tc>
        <w:tc>
          <w:tcPr>
            <w:tcW w:w="72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Contribution threshold</w:t>
            </w:r>
          </w:p>
        </w:tc>
      </w:tr>
      <w:tr>
        <w:trPr>
          <w:trHeight w:val="210" w:hRule="atLeast"/>
        </w:trPr>
        <w:tc>
          <w:tcPr>
            <w:tcW w:w="3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Governor</w:t>
            </w:r>
          </w:p>
        </w:tc>
        <w:tc>
          <w:tcPr>
            <w:tcW w:w="72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 or more</w:t>
            </w:r>
          </w:p>
        </w:tc>
      </w:tr>
      <w:tr>
        <w:trPr>
          <w:trHeight w:val="210" w:hRule="atLeast"/>
        </w:trPr>
        <w:tc>
          <w:tcPr>
            <w:tcW w:w="3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Other statewide office</w:t>
            </w:r>
          </w:p>
        </w:tc>
        <w:tc>
          <w:tcPr>
            <w:tcW w:w="72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$5,000 or more</w:t>
            </w:r>
          </w:p>
        </w:tc>
      </w:tr>
      <w:tr>
        <w:trPr>
          <w:trHeight w:val="210" w:hRule="atLeast"/>
        </w:trPr>
        <w:tc>
          <w:tcPr>
            <w:tcW w:w="397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General assembly</w:t>
            </w:r>
          </w:p>
        </w:tc>
        <w:tc>
          <w:tcPr>
            <w:tcW w:w="72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 or more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4.9(3)</w:t>
      </w:r>
      <w:r>
        <w:rPr>
          <w:rFonts w:ascii="Times New Roman" w:hAnsi="Times New Roman"/>
          <w:b w:val="false"/>
          <w:i w:val="false"/>
          <w:color w:val="000000"/>
          <w:sz w:val="22"/>
        </w:rPr>
        <w:t> </w:t>
      </w:r>
      <w:r>
        <w:rPr>
          <w:rFonts w:ascii="Times New Roman" w:hAnsi="Times New Roman"/>
          <w:b w:val="false"/>
          <w:i/>
          <w:color w:val="000000"/>
          <w:sz w:val="22"/>
        </w:rPr>
        <w:t xml:space="preserve">County candidate. </w:t>
      </w:r>
      <w:r>
        <w:rPr>
          <w:rFonts w:ascii="Times New Roman" w:hAnsi="Times New Roman"/>
          <w:b w:val="false"/>
          <w:i w:val="false"/>
          <w:color w:val="000000"/>
          <w:sz w:val="22"/>
        </w:rPr>
        <w:t>A candidate’s committee of a candidate for county office shall file campaign disclosure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year.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7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May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15 through July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15 through October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15 through December 31 of 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Nonelection year.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December 31 of nonelection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 election.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preceding the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 of initial activity through tenth day prior to the special election</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*This report is in addition to the election year reports required under paragraph </w:t>
            </w:r>
            <w:hyperlink r:id="rId47">
              <w:r>
                <w:rPr>
                  <w:rStyle w:val="Hyperlink"/>
                  <w:rFonts w:ascii="Times New Roman" w:hAnsi="Times New Roman"/>
                  <w:b w:val="false"/>
                  <w:i w:val="false"/>
                  <w:color w:val="000000"/>
                  <w:sz w:val="16"/>
                </w:rPr>
                <w:t>4.9(3)</w:t>
              </w:r>
              <w:r>
                <w:rPr>
                  <w:rFonts w:ascii="Times New Roman" w:hAnsi="Times New Roman"/>
                  <w:b w:val="false"/>
                  <w:i/>
                  <w:color w:val="000000"/>
                  <w:sz w:val="16"/>
                </w:rPr>
                <w:t>“a.”</w:t>
              </w:r>
            </w:hyperlink>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4.9(4)</w:t>
      </w:r>
      <w:r>
        <w:rPr>
          <w:rFonts w:ascii="Times New Roman" w:hAnsi="Times New Roman"/>
          <w:b w:val="false"/>
          <w:i w:val="false"/>
          <w:color w:val="000000"/>
          <w:sz w:val="22"/>
        </w:rPr>
        <w:t> </w:t>
      </w:r>
      <w:r>
        <w:rPr>
          <w:rFonts w:ascii="Times New Roman" w:hAnsi="Times New Roman"/>
          <w:b w:val="false"/>
          <w:i/>
          <w:color w:val="000000"/>
          <w:sz w:val="22"/>
        </w:rPr>
        <w:t xml:space="preserve">City candidate. </w:t>
      </w:r>
      <w:r>
        <w:rPr>
          <w:rFonts w:ascii="Times New Roman" w:hAnsi="Times New Roman"/>
          <w:b w:val="false"/>
          <w:i w:val="false"/>
          <w:color w:val="000000"/>
          <w:sz w:val="22"/>
        </w:rPr>
        <w:t>A candidate’s committee of a candidate for city office shall file campaign disclosure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year.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before primary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 of initial activity through ten days before primary election</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before general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Nine days before primary election through ten days before general election</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before runoff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Nine days before the general election through ten days before the runoff election</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Cutoff date from previously filed report through December 31</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*If a runoff election is held.</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Nonelection year.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December 31 of nonelection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 election.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preceding the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 of initial activity through tenth day prior to the special election</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*This report is in addition to the election year reports required under paragraph </w:t>
            </w:r>
            <w:hyperlink r:id="rId48">
              <w:r>
                <w:rPr>
                  <w:rStyle w:val="Hyperlink"/>
                  <w:rFonts w:ascii="Times New Roman" w:hAnsi="Times New Roman"/>
                  <w:b w:val="false"/>
                  <w:i w:val="false"/>
                  <w:color w:val="000000"/>
                  <w:sz w:val="16"/>
                </w:rPr>
                <w:t>4.9(4)</w:t>
              </w:r>
              <w:r>
                <w:rPr>
                  <w:rFonts w:ascii="Times New Roman" w:hAnsi="Times New Roman"/>
                  <w:b w:val="false"/>
                  <w:i/>
                  <w:color w:val="000000"/>
                  <w:sz w:val="16"/>
                </w:rPr>
                <w:t>“a.”</w:t>
              </w:r>
            </w:hyperlink>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4.9(5)</w:t>
      </w:r>
      <w:r>
        <w:rPr>
          <w:rFonts w:ascii="Times New Roman" w:hAnsi="Times New Roman"/>
          <w:b w:val="false"/>
          <w:i w:val="false"/>
          <w:color w:val="000000"/>
          <w:sz w:val="22"/>
        </w:rPr>
        <w:t> </w:t>
      </w:r>
      <w:r>
        <w:rPr>
          <w:rFonts w:ascii="Times New Roman" w:hAnsi="Times New Roman"/>
          <w:b w:val="false"/>
          <w:i/>
          <w:color w:val="000000"/>
          <w:sz w:val="22"/>
        </w:rPr>
        <w:t xml:space="preserve">School board or other political subdivision. </w:t>
      </w:r>
      <w:r>
        <w:rPr>
          <w:rFonts w:ascii="Times New Roman" w:hAnsi="Times New Roman"/>
          <w:b w:val="false"/>
          <w:i w:val="false"/>
          <w:color w:val="000000"/>
          <w:sz w:val="22"/>
        </w:rPr>
        <w:t>A candidate’s committee of a candidate for school board or other political subdivision office, except for county office or city office, shall file campaign disclosure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year.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before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 of initial activity through ten days before election</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Nine days before election through December 31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Nonelection year.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December 31 of nonelection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Special election.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preceding the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 of initial activity through tenth day prior to the special election</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*This report is in addition to the election year reports required under paragraph </w:t>
            </w:r>
            <w:hyperlink r:id="rId49">
              <w:r>
                <w:rPr>
                  <w:rStyle w:val="Hyperlink"/>
                  <w:rFonts w:ascii="Times New Roman" w:hAnsi="Times New Roman"/>
                  <w:b w:val="false"/>
                  <w:i w:val="false"/>
                  <w:color w:val="000000"/>
                  <w:sz w:val="16"/>
                </w:rPr>
                <w:t>4.9(5)</w:t>
              </w:r>
              <w:r>
                <w:rPr>
                  <w:rFonts w:ascii="Times New Roman" w:hAnsi="Times New Roman"/>
                  <w:b w:val="false"/>
                  <w:i/>
                  <w:color w:val="000000"/>
                  <w:sz w:val="16"/>
                </w:rPr>
                <w:t>“a.”</w:t>
              </w:r>
            </w:hyperlink>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4.9(6)</w:t>
      </w:r>
      <w:r>
        <w:rPr>
          <w:rFonts w:ascii="Times New Roman" w:hAnsi="Times New Roman"/>
          <w:b w:val="false"/>
          <w:i w:val="false"/>
          <w:color w:val="000000"/>
          <w:sz w:val="22"/>
        </w:rPr>
        <w:t> </w:t>
      </w:r>
      <w:r>
        <w:rPr>
          <w:rFonts w:ascii="Times New Roman" w:hAnsi="Times New Roman"/>
          <w:b w:val="false"/>
          <w:i/>
          <w:color w:val="000000"/>
          <w:sz w:val="22"/>
        </w:rPr>
        <w:t xml:space="preserve">State statutory political committee (state political party). </w:t>
      </w:r>
      <w:r>
        <w:rPr>
          <w:rFonts w:ascii="Times New Roman" w:hAnsi="Times New Roman"/>
          <w:b w:val="false"/>
          <w:i w:val="false"/>
          <w:color w:val="000000"/>
          <w:sz w:val="22"/>
        </w:rPr>
        <w:t xml:space="preserve">A committee defined in Iowa Code section </w:t>
      </w:r>
      <w:hyperlink r:id="rId50">
        <w:r>
          <w:rPr>
            <w:rStyle w:val="Hyperlink"/>
            <w:rFonts w:ascii="Times New Roman" w:hAnsi="Times New Roman"/>
            <w:b w:val="false"/>
            <w:i w:val="false"/>
            <w:color w:val="000000"/>
            <w:sz w:val="22"/>
          </w:rPr>
          <w:t>68A.102(21)</w:t>
        </w:r>
      </w:hyperlink>
      <w:r>
        <w:rPr>
          <w:rFonts w:ascii="Times New Roman" w:hAnsi="Times New Roman"/>
          <w:b w:val="false"/>
          <w:i w:val="false"/>
          <w:color w:val="000000"/>
          <w:sz w:val="22"/>
        </w:rPr>
        <w:t> as a state statutory political committee shall file campaign disclosure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year.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May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15 through July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15 through October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15 through December 31 of 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Nonelection year.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December 31 of nonelection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4.9(7)</w:t>
      </w:r>
      <w:r>
        <w:rPr>
          <w:rFonts w:ascii="Times New Roman" w:hAnsi="Times New Roman"/>
          <w:b w:val="false"/>
          <w:i w:val="false"/>
          <w:color w:val="000000"/>
          <w:sz w:val="22"/>
        </w:rPr>
        <w:t> </w:t>
      </w:r>
      <w:r>
        <w:rPr>
          <w:rFonts w:ascii="Times New Roman" w:hAnsi="Times New Roman"/>
          <w:b w:val="false"/>
          <w:i/>
          <w:color w:val="000000"/>
          <w:sz w:val="22"/>
        </w:rPr>
        <w:t xml:space="preserve">County statutory political committee (county central committee). </w:t>
      </w:r>
      <w:r>
        <w:rPr>
          <w:rFonts w:ascii="Times New Roman" w:hAnsi="Times New Roman"/>
          <w:b w:val="false"/>
          <w:i w:val="false"/>
          <w:color w:val="000000"/>
          <w:sz w:val="22"/>
        </w:rPr>
        <w:t xml:space="preserve">A committee defined as a county statutory political committee in Iowa Code section </w:t>
      </w:r>
      <w:hyperlink r:id="rId51">
        <w:r>
          <w:rPr>
            <w:rStyle w:val="Hyperlink"/>
            <w:rFonts w:ascii="Times New Roman" w:hAnsi="Times New Roman"/>
            <w:b w:val="false"/>
            <w:i w:val="false"/>
            <w:color w:val="000000"/>
            <w:sz w:val="22"/>
          </w:rPr>
          <w:t>68A.102(12)</w:t>
        </w:r>
      </w:hyperlink>
      <w:r>
        <w:rPr>
          <w:rFonts w:ascii="Times New Roman" w:hAnsi="Times New Roman"/>
          <w:b w:val="false"/>
          <w:i w:val="false"/>
          <w:color w:val="000000"/>
          <w:sz w:val="22"/>
        </w:rPr>
        <w:t xml:space="preserve"> shall file campaign disclosure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year.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May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15 through July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15 through October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15 through December 31 of 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Nonelection year.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December 31 of nonelection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4.9(8)</w:t>
      </w:r>
      <w:r>
        <w:rPr>
          <w:rFonts w:ascii="Times New Roman" w:hAnsi="Times New Roman"/>
          <w:b w:val="false"/>
          <w:i w:val="false"/>
          <w:color w:val="000000"/>
          <w:sz w:val="22"/>
        </w:rPr>
        <w:t> </w:t>
      </w:r>
      <w:r>
        <w:rPr>
          <w:rFonts w:ascii="Times New Roman" w:hAnsi="Times New Roman"/>
          <w:b w:val="false"/>
          <w:i/>
          <w:color w:val="000000"/>
          <w:sz w:val="22"/>
        </w:rPr>
        <w:t xml:space="preserve">State political committee (state PAC). </w:t>
      </w:r>
      <w:r>
        <w:rPr>
          <w:rFonts w:ascii="Times New Roman" w:hAnsi="Times New Roman"/>
          <w:b w:val="false"/>
          <w:i w:val="false"/>
          <w:color w:val="000000"/>
          <w:sz w:val="22"/>
        </w:rPr>
        <w:t>A political committee expressly advocating the nomination, election, or defeat of candidates for statewide office or the general assembly or a judge standing for retention shall file campaign disclosure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year.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May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15 through July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15 through October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15 through December 31 of 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Nonelection year.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June 30</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 through December 31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4.9(9)</w:t>
      </w:r>
      <w:r>
        <w:rPr>
          <w:rFonts w:ascii="Times New Roman" w:hAnsi="Times New Roman"/>
          <w:b w:val="false"/>
          <w:i w:val="false"/>
          <w:color w:val="000000"/>
          <w:sz w:val="22"/>
        </w:rPr>
        <w:t> </w:t>
      </w:r>
      <w:r>
        <w:rPr>
          <w:rFonts w:ascii="Times New Roman" w:hAnsi="Times New Roman"/>
          <w:b w:val="false"/>
          <w:i/>
          <w:color w:val="000000"/>
          <w:sz w:val="22"/>
        </w:rPr>
        <w:t xml:space="preserve">County political committee (county PAC). </w:t>
      </w:r>
      <w:r>
        <w:rPr>
          <w:rFonts w:ascii="Times New Roman" w:hAnsi="Times New Roman"/>
          <w:b w:val="false"/>
          <w:i w:val="false"/>
          <w:color w:val="000000"/>
          <w:sz w:val="22"/>
        </w:rPr>
        <w:t>A political committee expressly advocating the nomination, election, or defeat of candidates for county office shall file campaign disclosure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year.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May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15 through July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15 through October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15 through December 31 of 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Nonelection year.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33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December 31 of nonelection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4.9(10)</w:t>
      </w:r>
      <w:r>
        <w:rPr>
          <w:rFonts w:ascii="Times New Roman" w:hAnsi="Times New Roman"/>
          <w:b w:val="false"/>
          <w:i w:val="false"/>
          <w:color w:val="000000"/>
          <w:sz w:val="22"/>
        </w:rPr>
        <w:t> </w:t>
      </w:r>
      <w:r>
        <w:rPr>
          <w:rFonts w:ascii="Times New Roman" w:hAnsi="Times New Roman"/>
          <w:b w:val="false"/>
          <w:i/>
          <w:color w:val="000000"/>
          <w:sz w:val="22"/>
        </w:rPr>
        <w:t xml:space="preserve">City political committee (city PAC). </w:t>
      </w:r>
      <w:r>
        <w:rPr>
          <w:rFonts w:ascii="Times New Roman" w:hAnsi="Times New Roman"/>
          <w:b w:val="false"/>
          <w:i w:val="false"/>
          <w:color w:val="000000"/>
          <w:sz w:val="22"/>
        </w:rPr>
        <w:t>A political committee expressly advocating the nomination, election, or defeat of candidates for city office shall file campaign disclosure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year.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before primary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 of initial activity through ten days before primary election</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before general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Nine days before primary election through ten days before general election</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before runoff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Nine days before the general election through ten days before runoff election</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Cutoff date from previously filed report through December 31</w:t>
            </w:r>
          </w:p>
        </w:tc>
      </w:tr>
      <w:tr>
        <w:trPr>
          <w:trHeight w:val="210" w:hRule="atLeast"/>
        </w:trPr>
        <w:tc>
          <w:tcPr>
            <w:tcW w:w="0" w:type="auto"/>
            <w:gridSpan w:val="4"/>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*If a runoff election is held.</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Nonelection year.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December 31 of nonelection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4.9(11)</w:t>
      </w:r>
      <w:r>
        <w:rPr>
          <w:rFonts w:ascii="Times New Roman" w:hAnsi="Times New Roman"/>
          <w:b w:val="false"/>
          <w:i w:val="false"/>
          <w:color w:val="000000"/>
          <w:sz w:val="22"/>
        </w:rPr>
        <w:t> </w:t>
      </w:r>
      <w:r>
        <w:rPr>
          <w:rFonts w:ascii="Times New Roman" w:hAnsi="Times New Roman"/>
          <w:b w:val="false"/>
          <w:i/>
          <w:color w:val="000000"/>
          <w:sz w:val="22"/>
        </w:rPr>
        <w:t xml:space="preserve">School board or other political subdivision political committee (school board or other local PAC). </w:t>
      </w:r>
      <w:r>
        <w:rPr>
          <w:rFonts w:ascii="Times New Roman" w:hAnsi="Times New Roman"/>
          <w:b w:val="false"/>
          <w:i w:val="false"/>
          <w:color w:val="000000"/>
          <w:sz w:val="22"/>
        </w:rPr>
        <w:t>A political committee expressly advocating the nomination, election, or defeat of candidates for school board or other political subdivision office, except for county office or city office, shall file campaign disclosure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year.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before election</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 of initial activity through ten days before election</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Nine days before election through December 31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Nonelection year.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December 31 of nonelection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4.9(12)</w:t>
      </w:r>
      <w:r>
        <w:rPr>
          <w:rFonts w:ascii="Times New Roman" w:hAnsi="Times New Roman"/>
          <w:b w:val="false"/>
          <w:i w:val="false"/>
          <w:color w:val="000000"/>
          <w:sz w:val="22"/>
        </w:rPr>
        <w:t> </w:t>
      </w:r>
      <w:r>
        <w:rPr>
          <w:rFonts w:ascii="Times New Roman" w:hAnsi="Times New Roman"/>
          <w:b w:val="false"/>
          <w:i/>
          <w:color w:val="000000"/>
          <w:sz w:val="22"/>
        </w:rPr>
        <w:t xml:space="preserve">Statewide or local ballot issue committee (ballot issue PAC). </w:t>
      </w:r>
      <w:r>
        <w:rPr>
          <w:rFonts w:ascii="Times New Roman" w:hAnsi="Times New Roman"/>
          <w:b w:val="false"/>
          <w:i w:val="false"/>
          <w:color w:val="000000"/>
          <w:sz w:val="22"/>
        </w:rPr>
        <w:t>A committee expressly advocating the passage or defeat of a statewide or local ballot issue shall file campaign disclosure reports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Election year.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Five days before election</w:t>
            </w:r>
          </w:p>
        </w:tc>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 of initial activity or previous report through ten days before election</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 of initial activity or previous report through May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July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 of initial activity or previous report through July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October 19</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 of initial activity or previous report through October 14</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Cutoff date from previously filed report through December 31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Nonelection year. </w:t>
      </w:r>
    </w:p>
    <w:tbl>
      <w:tblPr>
        <w:tblW w:w="5000" w:type="pct"/>
        <w:tblCellSpacing w:w="0" w:type="auto"/>
        <w:tblBorders>
          <w:top w:val="none"/>
          <w:left w:val="none"/>
          <w:bottom w:val="none"/>
          <w:right w:val="none"/>
          <w:insideH w:val="none"/>
          <w:insideV w:val="none"/>
        </w:tblBorders>
        <w:tblLayout w:type="fixed"/>
      </w:tblPr>
      <w:tblGrid>
        <w:gridCol w:w="3867"/>
        <w:gridCol w:w="2133"/>
        <w:gridCol w:w="2133"/>
        <w:gridCol w:w="3600"/>
      </w:tblGrid>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Report due</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Covering period</w:t>
            </w:r>
          </w:p>
        </w:tc>
      </w:tr>
      <w:tr>
        <w:trPr>
          <w:trHeight w:val="210" w:hRule="atLeast"/>
        </w:trPr>
        <w:tc>
          <w:tcPr>
            <w:tcW w:w="386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19 (next calendar year)</w:t>
            </w:r>
          </w:p>
        </w:tc>
        <w:tc>
          <w:tcPr>
            <w:tcW w:w="0" w:type="auto"/>
            <w:gridSpan w:val="3"/>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January 1 through December 31 of nonelection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4.9(13)</w:t>
      </w:r>
      <w:r>
        <w:rPr>
          <w:rFonts w:ascii="Times New Roman" w:hAnsi="Times New Roman"/>
          <w:b w:val="false"/>
          <w:i w:val="false"/>
          <w:color w:val="000000"/>
          <w:sz w:val="22"/>
        </w:rPr>
        <w:t> </w:t>
      </w:r>
      <w:r>
        <w:rPr>
          <w:rFonts w:ascii="Times New Roman" w:hAnsi="Times New Roman"/>
          <w:b w:val="false"/>
          <w:i/>
          <w:color w:val="000000"/>
          <w:sz w:val="22"/>
        </w:rPr>
        <w:t xml:space="preserve">Permanent organizations. </w:t>
      </w:r>
      <w:r>
        <w:rPr>
          <w:rFonts w:ascii="Times New Roman" w:hAnsi="Times New Roman"/>
          <w:b w:val="false"/>
          <w:i w:val="false"/>
          <w:color w:val="000000"/>
          <w:sz w:val="22"/>
        </w:rPr>
        <w:t xml:space="preserve">A permanent organization temporarily engaging in political activity as described in Iowa Code section </w:t>
      </w:r>
      <w:hyperlink r:id="rId52">
        <w:r>
          <w:rPr>
            <w:rStyle w:val="Hyperlink"/>
            <w:rFonts w:ascii="Times New Roman" w:hAnsi="Times New Roman"/>
            <w:b w:val="false"/>
            <w:i w:val="false"/>
            <w:color w:val="000000"/>
            <w:sz w:val="22"/>
          </w:rPr>
          <w:t>68A.102(18)</w:t>
        </w:r>
      </w:hyperlink>
      <w:r>
        <w:rPr>
          <w:rFonts w:ascii="Times New Roman" w:hAnsi="Times New Roman"/>
          <w:b w:val="false"/>
          <w:i w:val="false"/>
          <w:color w:val="000000"/>
          <w:sz w:val="22"/>
        </w:rPr>
        <w:t xml:space="preserve"> shall organize a political committee and shall keep the funds relating to that political activity segregated from its operating funds. The committee shall file reports on the applicable due dates as required by this rule. The reports shall identify the source of the original funds used for a contribution made to a candidate or a candidate’s committee. When the permanent organization ceases to be involved in the political activity, the permanent organization shall dissolve the political committee. “Permanent organization” means an organization that is continuing, stable, and enduring, and was originally organized for purposes other than engaging in election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4.9(14)</w:t>
      </w:r>
      <w:r>
        <w:rPr>
          <w:rFonts w:ascii="Times New Roman" w:hAnsi="Times New Roman"/>
          <w:b w:val="false"/>
          <w:i w:val="false"/>
          <w:color w:val="000000"/>
          <w:sz w:val="22"/>
        </w:rPr>
        <w:t> </w:t>
      </w:r>
      <w:r>
        <w:rPr>
          <w:rFonts w:ascii="Times New Roman" w:hAnsi="Times New Roman"/>
          <w:b w:val="false"/>
          <w:i/>
          <w:color w:val="000000"/>
          <w:sz w:val="22"/>
        </w:rPr>
        <w:t xml:space="preserve">Election year defined. </w:t>
      </w:r>
      <w:r>
        <w:rPr>
          <w:rFonts w:ascii="Times New Roman" w:hAnsi="Times New Roman"/>
          <w:b w:val="false"/>
          <w:i w:val="false"/>
          <w:color w:val="000000"/>
          <w:sz w:val="22"/>
        </w:rPr>
        <w:t>“Election year” means a year in which the name of the candidate or ballot issue appears on a ballot to be voted on by the electors of the state of Iowa. For state and county statutory political committees, “election year” means a year in which primary and general elections are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4.9(15)</w:t>
      </w:r>
      <w:r>
        <w:rPr>
          <w:rFonts w:ascii="Times New Roman" w:hAnsi="Times New Roman"/>
          <w:b w:val="false"/>
          <w:i w:val="false"/>
          <w:color w:val="000000"/>
          <w:sz w:val="22"/>
        </w:rPr>
        <w:t> </w:t>
      </w:r>
      <w:r>
        <w:rPr>
          <w:rFonts w:ascii="Times New Roman" w:hAnsi="Times New Roman"/>
          <w:b w:val="false"/>
          <w:i/>
          <w:color w:val="000000"/>
          <w:sz w:val="22"/>
        </w:rPr>
        <w:t xml:space="preserve">Independent expenditure reporting. </w:t>
      </w:r>
      <w:r>
        <w:rPr>
          <w:rFonts w:ascii="Times New Roman" w:hAnsi="Times New Roman"/>
          <w:b w:val="false"/>
          <w:i w:val="false"/>
          <w:color w:val="000000"/>
          <w:sz w:val="22"/>
        </w:rPr>
        <w:t xml:space="preserve">An independent expenditure committee that is required to file campaign disclosure reports pursuant to Iowa Code section </w:t>
      </w:r>
      <w:hyperlink r:id="rId53">
        <w:r>
          <w:rPr>
            <w:rStyle w:val="Hyperlink"/>
            <w:rFonts w:ascii="Times New Roman" w:hAnsi="Times New Roman"/>
            <w:b w:val="false"/>
            <w:i w:val="false"/>
            <w:color w:val="000000"/>
            <w:sz w:val="22"/>
          </w:rPr>
          <w:t>68A.404(3)</w:t>
        </w:r>
      </w:hyperlink>
      <w:r>
        <w:rPr>
          <w:rFonts w:ascii="Times New Roman" w:hAnsi="Times New Roman"/>
          <w:b w:val="false"/>
          <w:i w:val="false"/>
          <w:color w:val="000000"/>
          <w:sz w:val="22"/>
        </w:rPr>
        <w:t>  shall file an initial report at the same time as the committee files its original independent expenditure statement. Form Ind-Exp-O shall serve as a campaign disclosure report for an independent expenditure committee. Form Ind-Exp-I shall serve as a campaign disclosure report for a sole individual making an independent expenditure.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4">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8826B</w:t>
      </w:r>
      <w:r>
        <w:rPr>
          <w:rFonts w:ascii="Times New Roman" w:hAnsi="Times New Roman"/>
          <w:b w:val="false"/>
          <w:i w:val="false"/>
          <w:color w:val="000000"/>
          <w:sz w:val="16"/>
        </w:rPr>
        <w:t>, IAB 6/2/10, effective 5/17/10</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351—4.10</w:t>
      </w:r>
      <w:r>
        <w:rPr>
          <w:rFonts w:ascii="Times New Roman" w:hAnsi="Times New Roman"/>
          <w:b/>
          <w:i w:val="false"/>
          <w:color w:val="000000"/>
          <w:sz w:val="22"/>
        </w:rPr>
        <w:t xml:space="preserve">(68A) </w:t>
      </w:r>
      <w:r>
        <w:rPr>
          <w:rFonts w:ascii="Times New Roman" w:hAnsi="Times New Roman"/>
          <w:b/>
          <w:i w:val="false"/>
          <w:color w:val="000000"/>
          <w:sz w:val="22"/>
        </w:rPr>
        <w:t xml:space="preserve">Time of filing. </w:t>
      </w:r>
      <w:r>
        <w:rPr>
          <w:rFonts w:ascii="Times New Roman" w:hAnsi="Times New Roman"/>
          <w:b w:val="false"/>
          <w:i w:val="false"/>
          <w:color w:val="000000"/>
          <w:sz w:val="22"/>
        </w:rPr>
        <w:t>A report must be filed with the board on or before 4:30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due date. If the due date falls on a Saturday, Sunday, or holiday on which the board office is closed, the due date is extended to the first working day when the board office is open.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5">
        <w:r>
          <w:rPr>
            <w:rStyle w:val="Hyperlink"/>
            <w:rFonts w:ascii="Times New Roman" w:hAnsi="Times New Roman"/>
            <w:b w:val="false"/>
            <w:i w:val="false"/>
            <w:color w:val="000000"/>
            <w:sz w:val="22"/>
          </w:rPr>
          <w:t>68A.401(1)</w:t>
        </w:r>
      </w:hyperlink>
      <w:r>
        <w:rPr>
          <w:rFonts w:ascii="Times New Roman" w:hAnsi="Times New Roman"/>
          <w:b w:val="false"/>
          <w:i w:val="false"/>
          <w:color w:val="000000"/>
          <w:sz w:val="22"/>
        </w:rPr>
        <w:t xml:space="preserve"> and </w:t>
      </w:r>
      <w:hyperlink r:id="rId56">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8290B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351—4.11</w:t>
      </w:r>
      <w:r>
        <w:rPr>
          <w:rFonts w:ascii="Times New Roman" w:hAnsi="Times New Roman"/>
          <w:b/>
          <w:i w:val="false"/>
          <w:color w:val="000000"/>
          <w:sz w:val="22"/>
        </w:rPr>
        <w:t xml:space="preserve">(68A) </w:t>
      </w:r>
      <w:r>
        <w:rPr>
          <w:rFonts w:ascii="Times New Roman" w:hAnsi="Times New Roman"/>
          <w:b/>
          <w:i w:val="false"/>
          <w:color w:val="000000"/>
          <w:sz w:val="22"/>
        </w:rPr>
        <w:t xml:space="preserve">Voluntary registration—Form DR-SFA.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4.11(1)</w:t>
      </w:r>
      <w:r>
        <w:rPr>
          <w:rFonts w:ascii="Times New Roman" w:hAnsi="Times New Roman"/>
          <w:b w:val="false"/>
          <w:i w:val="false"/>
          <w:color w:val="000000"/>
          <w:sz w:val="22"/>
        </w:rPr>
        <w:t> </w:t>
      </w:r>
      <w:r>
        <w:rPr>
          <w:rFonts w:ascii="Times New Roman" w:hAnsi="Times New Roman"/>
          <w:b w:val="false"/>
          <w:i/>
          <w:color w:val="000000"/>
          <w:sz w:val="22"/>
        </w:rPr>
        <w:t xml:space="preserve">Persons voluntarily registering a committee. </w:t>
      </w:r>
      <w:r>
        <w:rPr>
          <w:rFonts w:ascii="Times New Roman" w:hAnsi="Times New Roman"/>
          <w:b w:val="false"/>
          <w:i w:val="false"/>
          <w:color w:val="000000"/>
          <w:sz w:val="22"/>
        </w:rPr>
        <w:t xml:space="preserve">A person that has not exceeded the $1,000 financial filing threshold may file Form DR-SFA for purposes of using the short form “paid for by” attribution statement under Iowa Code section </w:t>
      </w:r>
      <w:hyperlink r:id="rId57">
        <w:r>
          <w:rPr>
            <w:rStyle w:val="Hyperlink"/>
            <w:rFonts w:ascii="Times New Roman" w:hAnsi="Times New Roman"/>
            <w:b w:val="false"/>
            <w:i w:val="false"/>
            <w:color w:val="000000"/>
            <w:sz w:val="22"/>
          </w:rPr>
          <w:t>68A.405</w:t>
        </w:r>
      </w:hyperlink>
      <w:r>
        <w:rPr>
          <w:rFonts w:ascii="Times New Roman" w:hAnsi="Times New Roman"/>
          <w:b w:val="false"/>
          <w:i w:val="false"/>
          <w:color w:val="000000"/>
          <w:sz w:val="22"/>
        </w:rPr>
        <w:t xml:space="preserve"> and rule </w:t>
      </w:r>
      <w:hyperlink r:id="rId58">
        <w:r>
          <w:rPr>
            <w:rStyle w:val="Hyperlink"/>
            <w:rFonts w:ascii="Times New Roman" w:hAnsi="Times New Roman"/>
            <w:b w:val="false"/>
            <w:i w:val="false"/>
            <w:color w:val="000000"/>
            <w:sz w:val="22"/>
          </w:rPr>
          <w:t>351—4.38(68A)</w:t>
        </w:r>
      </w:hyperlink>
      <w:r>
        <w:rPr>
          <w:rFonts w:ascii="Times New Roman" w:hAnsi="Times New Roman"/>
          <w:b w:val="false"/>
          <w:i w:val="false"/>
          <w:color w:val="000000"/>
          <w:sz w:val="22"/>
        </w:rPr>
        <w:t>. A person using the short form “paid for by” attribution statement shall file Form DR-SFA with the board prior to distributing the political material containing the short form “paid for by” attribution 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4.11(2)</w:t>
      </w:r>
      <w:r>
        <w:rPr>
          <w:rFonts w:ascii="Times New Roman" w:hAnsi="Times New Roman"/>
          <w:b w:val="false"/>
          <w:i w:val="false"/>
          <w:color w:val="000000"/>
          <w:sz w:val="22"/>
        </w:rPr>
        <w:t> </w:t>
      </w:r>
      <w:r>
        <w:rPr>
          <w:rFonts w:ascii="Times New Roman" w:hAnsi="Times New Roman"/>
          <w:b w:val="false"/>
          <w:i/>
          <w:color w:val="000000"/>
          <w:sz w:val="22"/>
        </w:rPr>
        <w:t xml:space="preserve">$1,000 threshold later exceeded. </w:t>
      </w:r>
      <w:r>
        <w:rPr>
          <w:rFonts w:ascii="Times New Roman" w:hAnsi="Times New Roman"/>
          <w:b w:val="false"/>
          <w:i w:val="false"/>
          <w:color w:val="000000"/>
          <w:sz w:val="22"/>
        </w:rPr>
        <w:t>A person filing Form DR-SFA shall not be required to file a statement of organization or be required to file disclosure reports unless the $1,000 threshold is later exceeded. A person that later exceeds the $1,000 threshold and that fails to timely file a statement of organization or to timely file disclosure reports may be subject to the appropriate board sanctions as set out by statute and board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4.11(3)</w:t>
      </w:r>
      <w:r>
        <w:rPr>
          <w:rFonts w:ascii="Times New Roman" w:hAnsi="Times New Roman"/>
          <w:b w:val="false"/>
          <w:i w:val="false"/>
          <w:color w:val="000000"/>
          <w:sz w:val="22"/>
        </w:rPr>
        <w:t> </w:t>
      </w:r>
      <w:r>
        <w:rPr>
          <w:rFonts w:ascii="Times New Roman" w:hAnsi="Times New Roman"/>
          <w:b w:val="false"/>
          <w:i/>
          <w:color w:val="000000"/>
          <w:sz w:val="22"/>
        </w:rPr>
        <w:t xml:space="preserve">Subsequent elections. </w:t>
      </w:r>
      <w:r>
        <w:rPr>
          <w:rFonts w:ascii="Times New Roman" w:hAnsi="Times New Roman"/>
          <w:b w:val="false"/>
          <w:i w:val="false"/>
          <w:color w:val="000000"/>
          <w:sz w:val="22"/>
        </w:rPr>
        <w:t>A person that filed Form DR-SFA for one election and then becomes involved in a subsequent election and wants to voluntarily register a committee shall file either a new Form DR-SFA or file an amended Form DR-SFA, which provides information concerning the new election.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9">
        <w:r>
          <w:rPr>
            <w:rStyle w:val="Hyperlink"/>
            <w:rFonts w:ascii="Times New Roman" w:hAnsi="Times New Roman"/>
            <w:b w:val="false"/>
            <w:i w:val="false"/>
            <w:color w:val="000000"/>
            <w:sz w:val="22"/>
          </w:rPr>
          <w:t>68A.201</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68A.405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7994B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351—4.12</w:t>
      </w:r>
      <w:r>
        <w:rPr>
          <w:rFonts w:ascii="Times New Roman" w:hAnsi="Times New Roman"/>
          <w:b/>
          <w:i w:val="false"/>
          <w:color w:val="000000"/>
          <w:sz w:val="22"/>
        </w:rPr>
        <w:t xml:space="preserve">(68A,68B) </w:t>
      </w:r>
      <w:r>
        <w:rPr>
          <w:rFonts w:ascii="Times New Roman" w:hAnsi="Times New Roman"/>
          <w:b/>
          <w:i w:val="false"/>
          <w:color w:val="000000"/>
          <w:sz w:val="22"/>
        </w:rPr>
        <w:t xml:space="preserve">Exception from reporting requirement—reports due within five days of one another. </w:t>
      </w:r>
      <w:r>
        <w:rPr>
          <w:rFonts w:ascii="Times New Roman" w:hAnsi="Times New Roman"/>
          <w:b w:val="false"/>
          <w:i w:val="false"/>
          <w:color w:val="000000"/>
          <w:sz w:val="22"/>
        </w:rPr>
        <w:t>When two disclosure reports are due from the same committee within five days of each other, the activity may be combined into one report. A committee choosing this option shall file a report on or before the second due date that covers the extended reporting period.</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61">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351—4.13</w:t>
      </w:r>
      <w:r>
        <w:rPr>
          <w:rFonts w:ascii="Times New Roman" w:hAnsi="Times New Roman"/>
          <w:b/>
          <w:i w:val="false"/>
          <w:color w:val="000000"/>
          <w:sz w:val="22"/>
        </w:rPr>
        <w:t xml:space="preserve">(68A,68B) </w:t>
      </w:r>
      <w:r>
        <w:rPr>
          <w:rFonts w:ascii="Times New Roman" w:hAnsi="Times New Roman"/>
          <w:b/>
          <w:i w:val="false"/>
          <w:color w:val="000000"/>
          <w:sz w:val="22"/>
        </w:rPr>
        <w:t xml:space="preserve">Report forms—summary page (DR-2) and supporting schedules. </w:t>
      </w:r>
      <w:r>
        <w:rPr>
          <w:rFonts w:ascii="Times New Roman" w:hAnsi="Times New Roman"/>
          <w:b w:val="false"/>
          <w:i w:val="false"/>
          <w:color w:val="000000"/>
          <w:sz w:val="22"/>
        </w:rPr>
        <w:t xml:space="preserve">The board may require committees to submit relevant information not specifically delineated in Iowa Code chapter </w:t>
      </w:r>
      <w:hyperlink r:id="rId62">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on their disclosure report where the report form asks for information. All information shall be pertinent to the duties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4.13(1)</w:t>
      </w:r>
      <w:r>
        <w:rPr>
          <w:rFonts w:ascii="Times New Roman" w:hAnsi="Times New Roman"/>
          <w:b w:val="false"/>
          <w:i w:val="false"/>
          <w:color w:val="000000"/>
          <w:sz w:val="22"/>
        </w:rPr>
        <w:t> </w:t>
      </w:r>
      <w:r>
        <w:rPr>
          <w:rFonts w:ascii="Times New Roman" w:hAnsi="Times New Roman"/>
          <w:b w:val="false"/>
          <w:i/>
          <w:color w:val="000000"/>
          <w:sz w:val="22"/>
        </w:rPr>
        <w:t xml:space="preserve">Official reporting forms. </w:t>
      </w:r>
      <w:r>
        <w:rPr>
          <w:rFonts w:ascii="Times New Roman" w:hAnsi="Times New Roman"/>
          <w:b w:val="false"/>
          <w:i w:val="false"/>
          <w:color w:val="000000"/>
          <w:sz w:val="22"/>
        </w:rPr>
        <w:t xml:space="preserve">The disclosure reports shall be submitted using the forms provided in the board’s electronic filing system via the board’s website at </w:t>
      </w:r>
      <w:hyperlink r:id="rId63">
        <w:r>
          <w:rPr>
            <w:rStyle w:val="Hyperlink"/>
            <w:rFonts w:ascii="Times New Roman" w:hAnsi="Times New Roman"/>
            <w:b w:val="false"/>
            <w:i w:val="false"/>
            <w:color w:val="000000"/>
            <w:sz w:val="22"/>
            <w:u w:val="single"/>
          </w:rPr>
          <w:t>ethics.iowa.gov</w:t>
        </w:r>
      </w:hyperlink>
      <w:r>
        <w:rPr>
          <w:rFonts w:ascii="Times New Roman" w:hAnsi="Times New Roman"/>
          <w:b w:val="false"/>
          <w:i w:val="false"/>
          <w:color w:val="000000"/>
          <w:sz w:val="22"/>
        </w:rPr>
        <w:t>. The standard forms for campaign disclosure reports are:</w:t>
      </w:r>
    </w:p>
    <w:p>
      <w:pPr>
        <w:spacing w:before="0" w:after="0"/>
        <w:ind w:left="120"/>
        <w:jc w:val="both"/>
      </w:pPr>
      <w:r>
        <w:rPr>
          <w:rFonts w:ascii="Times New Roman" w:hAnsi="Times New Roman"/>
          <w:b w:val="false"/>
          <w:i w:val="false"/>
          <w:color w:val="000000"/>
          <w:sz w:val="22"/>
        </w:rPr>
        <w:t>DR-2 — Disclosure Summary Page</w:t>
      </w:r>
    </w:p>
    <w:p>
      <w:pPr>
        <w:spacing w:before="0" w:after="0"/>
        <w:ind w:left="120"/>
        <w:jc w:val="both"/>
      </w:pPr>
      <w:r>
        <w:rPr>
          <w:rFonts w:ascii="Times New Roman" w:hAnsi="Times New Roman"/>
          <w:b w:val="false"/>
          <w:i w:val="false"/>
          <w:color w:val="000000"/>
          <w:sz w:val="22"/>
        </w:rPr>
        <w:t>Schedule A — Monetary Receipts</w:t>
      </w:r>
    </w:p>
    <w:p>
      <w:pPr>
        <w:spacing w:before="0" w:after="0"/>
        <w:ind w:left="120"/>
        <w:jc w:val="both"/>
      </w:pPr>
      <w:r>
        <w:rPr>
          <w:rFonts w:ascii="Times New Roman" w:hAnsi="Times New Roman"/>
          <w:b w:val="false"/>
          <w:i w:val="false"/>
          <w:color w:val="000000"/>
          <w:sz w:val="22"/>
        </w:rPr>
        <w:t>Schedule B — Monetary Expenditures</w:t>
      </w:r>
    </w:p>
    <w:p>
      <w:pPr>
        <w:spacing w:before="0" w:after="0"/>
        <w:ind w:left="120"/>
        <w:jc w:val="both"/>
      </w:pPr>
      <w:r>
        <w:rPr>
          <w:rFonts w:ascii="Times New Roman" w:hAnsi="Times New Roman"/>
          <w:b w:val="false"/>
          <w:i w:val="false"/>
          <w:color w:val="000000"/>
          <w:sz w:val="22"/>
        </w:rPr>
        <w:t>Schedule C — (Reserved)</w:t>
      </w:r>
    </w:p>
    <w:p>
      <w:pPr>
        <w:spacing w:before="0" w:after="0"/>
        <w:ind w:left="120"/>
        <w:jc w:val="both"/>
      </w:pPr>
      <w:r>
        <w:rPr>
          <w:rFonts w:ascii="Times New Roman" w:hAnsi="Times New Roman"/>
          <w:b w:val="false"/>
          <w:i w:val="false"/>
          <w:color w:val="000000"/>
          <w:sz w:val="22"/>
        </w:rPr>
        <w:t>Schedule D — Incurred Indebtedness</w:t>
      </w:r>
    </w:p>
    <w:p>
      <w:pPr>
        <w:spacing w:before="0" w:after="0"/>
        <w:ind w:left="120"/>
        <w:jc w:val="both"/>
      </w:pPr>
      <w:r>
        <w:rPr>
          <w:rFonts w:ascii="Times New Roman" w:hAnsi="Times New Roman"/>
          <w:b w:val="false"/>
          <w:i w:val="false"/>
          <w:color w:val="000000"/>
          <w:sz w:val="22"/>
        </w:rPr>
        <w:t>Schedule E — In-kind Contributions</w:t>
      </w:r>
    </w:p>
    <w:p>
      <w:pPr>
        <w:spacing w:before="0" w:after="0"/>
        <w:ind w:left="120"/>
        <w:jc w:val="both"/>
      </w:pPr>
      <w:r>
        <w:rPr>
          <w:rFonts w:ascii="Times New Roman" w:hAnsi="Times New Roman"/>
          <w:b w:val="false"/>
          <w:i w:val="false"/>
          <w:color w:val="000000"/>
          <w:sz w:val="22"/>
        </w:rPr>
        <w:t>Schedule F — Loans Received and Repaid</w:t>
      </w:r>
    </w:p>
    <w:p>
      <w:pPr>
        <w:spacing w:before="0" w:after="0"/>
        <w:ind w:left="120"/>
        <w:jc w:val="both"/>
      </w:pPr>
      <w:r>
        <w:rPr>
          <w:rFonts w:ascii="Times New Roman" w:hAnsi="Times New Roman"/>
          <w:b w:val="false"/>
          <w:i w:val="false"/>
          <w:color w:val="000000"/>
          <w:sz w:val="22"/>
        </w:rPr>
        <w:t>Schedule G — Consultant Activity</w:t>
      </w:r>
    </w:p>
    <w:p>
      <w:pPr>
        <w:spacing w:before="0" w:after="0"/>
        <w:ind w:left="120"/>
        <w:jc w:val="both"/>
      </w:pPr>
      <w:r>
        <w:rPr>
          <w:rFonts w:ascii="Times New Roman" w:hAnsi="Times New Roman"/>
          <w:b w:val="false"/>
          <w:i w:val="false"/>
          <w:color w:val="000000"/>
          <w:sz w:val="22"/>
        </w:rPr>
        <w:t>Schedule H — Campaign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4.13(2)</w:t>
      </w:r>
      <w:r>
        <w:rPr>
          <w:rFonts w:ascii="Times New Roman" w:hAnsi="Times New Roman"/>
          <w:b w:val="false"/>
          <w:i w:val="false"/>
          <w:color w:val="000000"/>
          <w:sz w:val="22"/>
        </w:rPr>
        <w:t> </w:t>
      </w:r>
      <w:r>
        <w:rPr>
          <w:rFonts w:ascii="Times New Roman" w:hAnsi="Times New Roman"/>
          <w:b w:val="false"/>
          <w:i/>
          <w:color w:val="000000"/>
          <w:sz w:val="22"/>
        </w:rPr>
        <w:t xml:space="preserve">Special information required for city, school, or local ballot issue elections. </w:t>
      </w:r>
      <w:r>
        <w:rPr>
          <w:rFonts w:ascii="Times New Roman" w:hAnsi="Times New Roman"/>
          <w:b w:val="false"/>
          <w:i w:val="false"/>
          <w:color w:val="000000"/>
          <w:sz w:val="22"/>
        </w:rPr>
        <w:t>Committees expressly advocating the election or defeat of a candidate for city or school public office, or expressly advocating the passage or defeat of a local ballot issue, shall indicate in the designated spaces on the report summary page the date that the election is to be held, the period covered by the disclosure report, and the control county responsible for conducting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4.13(3)</w:t>
      </w:r>
      <w:r>
        <w:rPr>
          <w:rFonts w:ascii="Times New Roman" w:hAnsi="Times New Roman"/>
          <w:b w:val="false"/>
          <w:i w:val="false"/>
          <w:color w:val="000000"/>
          <w:sz w:val="22"/>
        </w:rPr>
        <w:t> </w:t>
      </w:r>
      <w:r>
        <w:rPr>
          <w:rFonts w:ascii="Times New Roman" w:hAnsi="Times New Roman"/>
          <w:b w:val="false"/>
          <w:i/>
          <w:color w:val="000000"/>
          <w:sz w:val="22"/>
        </w:rPr>
        <w:t xml:space="preserve">Independent expenditure disclosures. </w:t>
      </w:r>
      <w:r>
        <w:rPr>
          <w:rFonts w:ascii="Times New Roman" w:hAnsi="Times New Roman"/>
          <w:b w:val="false"/>
          <w:i w:val="false"/>
          <w:color w:val="000000"/>
          <w:sz w:val="22"/>
        </w:rPr>
        <w:t xml:space="preserve">A person making an independent expenditure shall disclose campaign transaction information as required by Iowa Code section </w:t>
      </w:r>
      <w:hyperlink r:id="rId64">
        <w:r>
          <w:rPr>
            <w:rStyle w:val="Hyperlink"/>
            <w:rFonts w:ascii="Times New Roman" w:hAnsi="Times New Roman"/>
            <w:b w:val="false"/>
            <w:i w:val="false"/>
            <w:color w:val="000000"/>
            <w:sz w:val="22"/>
          </w:rPr>
          <w:t>68A.404(3)</w:t>
        </w:r>
      </w:hyperlink>
      <w:r>
        <w:rPr>
          <w:rFonts w:ascii="Times New Roman" w:hAnsi="Times New Roman"/>
          <w:b w:val="false"/>
          <w:i w:val="false"/>
          <w:color w:val="000000"/>
          <w:sz w:val="22"/>
        </w:rPr>
        <w:t>. Form Ind-Exp-O shall serve as a campaign disclosure report for an independent expenditure committee. Form Ind-Exp-I shall serve as a campaign disclosure report for a sole individual making an independent expenditure.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5">
        <w:r>
          <w:rPr>
            <w:rStyle w:val="Hyperlink"/>
            <w:rFonts w:ascii="Times New Roman" w:hAnsi="Times New Roman"/>
            <w:b w:val="false"/>
            <w:i w:val="false"/>
            <w:color w:val="000000"/>
            <w:sz w:val="22"/>
          </w:rPr>
          <w:t>68A.402A</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68A.404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8826B</w:t>
      </w:r>
      <w:r>
        <w:rPr>
          <w:rFonts w:ascii="Times New Roman" w:hAnsi="Times New Roman"/>
          <w:b w:val="false"/>
          <w:i w:val="false"/>
          <w:color w:val="000000"/>
          <w:sz w:val="16"/>
        </w:rPr>
        <w:t>, IAB 6/2/10, effective 5/17/10</w:t>
      </w:r>
      <w:r>
        <w:rPr>
          <w:rFonts w:ascii="Times New Roman" w:hAnsi="Times New Roman"/>
          <w:b w:val="false"/>
          <w:i w:val="false"/>
          <w:color w:val="000000"/>
          <w:sz w:val="16"/>
        </w:rPr>
        <w:t xml:space="preserve">; </w:t>
      </w:r>
      <w:r>
        <w:rPr>
          <w:rFonts w:ascii="Times New Roman" w:hAnsi="Times New Roman"/>
          <w:b/>
          <w:i w:val="false"/>
          <w:color w:val="000000"/>
          <w:sz w:val="16"/>
        </w:rPr>
        <w:t>ARC 9031B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351—4.14</w:t>
      </w:r>
      <w:r>
        <w:rPr>
          <w:rFonts w:ascii="Times New Roman" w:hAnsi="Times New Roman"/>
          <w:b/>
          <w:i w:val="false"/>
          <w:color w:val="000000"/>
          <w:sz w:val="22"/>
        </w:rPr>
        <w:t xml:space="preserve">(68A,68B) </w:t>
      </w:r>
      <w:r>
        <w:rPr>
          <w:rFonts w:ascii="Times New Roman" w:hAnsi="Times New Roman"/>
          <w:b/>
          <w:i w:val="false"/>
          <w:color w:val="000000"/>
          <w:sz w:val="22"/>
        </w:rPr>
        <w:t xml:space="preserve">Schedule A - Monetary Receipts.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4.14(1)</w:t>
      </w:r>
      <w:r>
        <w:rPr>
          <w:rFonts w:ascii="Times New Roman" w:hAnsi="Times New Roman"/>
          <w:b w:val="false"/>
          <w:i w:val="false"/>
          <w:color w:val="000000"/>
          <w:sz w:val="22"/>
        </w:rPr>
        <w:t> </w:t>
      </w:r>
      <w:r>
        <w:rPr>
          <w:rFonts w:ascii="Times New Roman" w:hAnsi="Times New Roman"/>
          <w:b w:val="false"/>
          <w:i/>
          <w:color w:val="000000"/>
          <w:sz w:val="22"/>
        </w:rPr>
        <w:t xml:space="preserve">Reporting of all monetary receipts; chronological listing. </w:t>
      </w:r>
      <w:r>
        <w:rPr>
          <w:rFonts w:ascii="Times New Roman" w:hAnsi="Times New Roman"/>
          <w:b w:val="false"/>
          <w:i w:val="false"/>
          <w:color w:val="000000"/>
          <w:sz w:val="22"/>
        </w:rPr>
        <w:t>The committee shall report the amounts of all monetary receipts which are accepted by the committee during the reporting period. If a contribution is returned to a contributor prior to the end of the reporting period and is not deposited into the committee’s bank account, the contribution is deemed to have been rejected and shall not be reported. A contribution which is physically received and either deposited into the committee’s account or not returned by the end of the reporting period is deemed to have been accepted. The schedule entries shall be listed in chronological order by the date on which the contribution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4.14(2)</w:t>
      </w:r>
      <w:r>
        <w:rPr>
          <w:rFonts w:ascii="Times New Roman" w:hAnsi="Times New Roman"/>
          <w:b w:val="false"/>
          <w:i w:val="false"/>
          <w:color w:val="000000"/>
          <w:sz w:val="22"/>
        </w:rPr>
        <w:t> </w:t>
      </w:r>
      <w:r>
        <w:rPr>
          <w:rFonts w:ascii="Times New Roman" w:hAnsi="Times New Roman"/>
          <w:b w:val="false"/>
          <w:i/>
          <w:color w:val="000000"/>
          <w:sz w:val="22"/>
        </w:rPr>
        <w:t xml:space="preserve">Date of contribution—date received. </w:t>
      </w:r>
      <w:r>
        <w:rPr>
          <w:rFonts w:ascii="Times New Roman" w:hAnsi="Times New Roman"/>
          <w:b w:val="false"/>
          <w:i w:val="false"/>
          <w:color w:val="000000"/>
          <w:sz w:val="22"/>
        </w:rPr>
        <w:t>The schedule shall include the complete date (month/day/year) that the contribution was physically received by a person on behalf of the committee. If the contribution is by check, the date of the contribution to be reported is the date the check is physically received by a person on behalf of the committee, even if this date is different from the date shown on the check. For contributions received by mail, the date of the contribution to be reported shall be the date that the recipient physically opens the envelope.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4.14(3)</w:t>
      </w:r>
      <w:r>
        <w:rPr>
          <w:rFonts w:ascii="Times New Roman" w:hAnsi="Times New Roman"/>
          <w:b w:val="false"/>
          <w:i w:val="false"/>
          <w:color w:val="000000"/>
          <w:sz w:val="22"/>
        </w:rPr>
        <w:t> </w:t>
      </w:r>
      <w:r>
        <w:rPr>
          <w:rFonts w:ascii="Times New Roman" w:hAnsi="Times New Roman"/>
          <w:b w:val="false"/>
          <w:i/>
          <w:color w:val="000000"/>
          <w:sz w:val="22"/>
        </w:rPr>
        <w:t xml:space="preserve">Name and address of contributor; joint accounts. </w:t>
      </w:r>
      <w:r>
        <w:rPr>
          <w:rFonts w:ascii="Times New Roman" w:hAnsi="Times New Roman"/>
          <w:b w:val="false"/>
          <w:i w:val="false"/>
          <w:color w:val="000000"/>
          <w:sz w:val="22"/>
        </w:rPr>
        <w:t>The schedule shall include the name and address of each person who has made one or more contributions of money to the committee if the aggregate amount of contributions (either monetary or in-kind) received from that person in the calendar year exceeds $25, except that the itemization threshold is $200 for a state statutory political committee and $50 for a county statutory political committee. In the case of a contribution by check, the contributor name on the disclosure report shall be the name shown as the account name on the account, except that if the check is on a joint account, the contribution shall be presumed to be from the person who signs the check. If the committee chooses to itemize contributions that are less than the required itemization threshold, it may do so, but shall either do so for all contributions or none of the contributions under the threshold.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4.14(4)</w:t>
      </w:r>
      <w:r>
        <w:rPr>
          <w:rFonts w:ascii="Times New Roman" w:hAnsi="Times New Roman"/>
          <w:b w:val="false"/>
          <w:i w:val="false"/>
          <w:color w:val="000000"/>
          <w:sz w:val="22"/>
        </w:rPr>
        <w:t> </w:t>
      </w:r>
      <w:r>
        <w:rPr>
          <w:rFonts w:ascii="Times New Roman" w:hAnsi="Times New Roman"/>
          <w:b w:val="false"/>
          <w:i/>
          <w:color w:val="000000"/>
          <w:sz w:val="22"/>
        </w:rPr>
        <w:t xml:space="preserve">Unitemized contributions and freewill donations. </w:t>
      </w:r>
      <w:r>
        <w:rPr>
          <w:rFonts w:ascii="Times New Roman" w:hAnsi="Times New Roman"/>
          <w:b w:val="false"/>
          <w:i w:val="false"/>
          <w:color w:val="000000"/>
          <w:sz w:val="22"/>
        </w:rPr>
        <w:t>If the committee does not choose to itemize all contributions under the itemization threshold ($25 for most committees, see Iowa Code section 68A.402A(1)</w:t>
      </w:r>
      <w:r>
        <w:rPr>
          <w:rFonts w:ascii="Times New Roman" w:hAnsi="Times New Roman"/>
          <w:b w:val="false"/>
          <w:i/>
          <w:color w:val="000000"/>
          <w:sz w:val="22"/>
        </w:rPr>
        <w:t>“b”</w:t>
      </w:r>
      <w:r>
        <w:rPr>
          <w:rFonts w:ascii="Times New Roman" w:hAnsi="Times New Roman"/>
          <w:b w:val="false"/>
          <w:i w:val="false"/>
          <w:color w:val="000000"/>
          <w:sz w:val="22"/>
        </w:rPr>
        <w:t xml:space="preserve">), it shall aggregate these contributions and report the aggregate amount as “unitemized contributions.” No date received is required to be provided for miscellaneous unitemized contributions. Unitemized contributions may be solicited and received through a freewill donation such as a “fish bowl” or “pass the hat” collection if the collection is in compliance with rule </w:t>
      </w:r>
      <w:hyperlink r:id="rId67">
        <w:r>
          <w:rPr>
            <w:rStyle w:val="Hyperlink"/>
            <w:rFonts w:ascii="Times New Roman" w:hAnsi="Times New Roman"/>
            <w:b w:val="false"/>
            <w:i w:val="false"/>
            <w:color w:val="000000"/>
            <w:sz w:val="22"/>
          </w:rPr>
          <w:t>351—4.30(68A,68B)</w:t>
        </w:r>
      </w:hyperlink>
      <w:r>
        <w:rPr>
          <w:rFonts w:ascii="Times New Roman" w:hAnsi="Times New Roman"/>
          <w:b w:val="false"/>
          <w:i w:val="false"/>
          <w:color w:val="000000"/>
          <w:sz w:val="22"/>
        </w:rPr>
        <w:t>. Unitemized contributions collected through freewill donations (the net amount of the collection after the itemization of those persons whose contributions of more than $25 in the freewill collection resulted in exceeding the annual itemization threshold) shall be reported by showing the net amount as “unitemized contributions—pass the hat (or can collection or fish bowl, for example) collection.” The “date received” to be reported for a freewill donation is the date a representative of the committee takes possession of the proceeds of the collection.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4.14(5)</w:t>
      </w:r>
      <w:r>
        <w:rPr>
          <w:rFonts w:ascii="Times New Roman" w:hAnsi="Times New Roman"/>
          <w:b w:val="false"/>
          <w:i w:val="false"/>
          <w:color w:val="000000"/>
          <w:sz w:val="22"/>
        </w:rPr>
        <w:t> </w:t>
      </w:r>
      <w:r>
        <w:rPr>
          <w:rFonts w:ascii="Times New Roman" w:hAnsi="Times New Roman"/>
          <w:b w:val="false"/>
          <w:i/>
          <w:color w:val="000000"/>
          <w:sz w:val="22"/>
        </w:rPr>
        <w:t xml:space="preserve">Relationship to candidate. </w:t>
      </w:r>
      <w:r>
        <w:rPr>
          <w:rFonts w:ascii="Times New Roman" w:hAnsi="Times New Roman"/>
          <w:b w:val="false"/>
          <w:i w:val="false"/>
          <w:color w:val="000000"/>
          <w:sz w:val="22"/>
        </w:rPr>
        <w:t>In the case of contributions to candidates’ committees, the schedule shall include information indicating whether the contributor is related to the candidate within the third degree of consanguinity or affinity. “Consanguinity” means a relative through descent from common ancestors (by blood). “Affinity” means a relative through a current marriage. A husband has the same relation, by affinity, to his wife’s blood relatives as she has to them by consanguinity and vice versa. “Degree of kinship” is determined by counting upward from one of the persons in question to the nearest common ancestor, and then down to the other person, calling it one degree for each generation in the ascending as well as the descending line. Under this rule, a woman’s sister is related to her by consanguinity in the second degree. The sister is thus related to the woman’s husband by affinity in the second degree. Other examples of relationships within the third degree between a contributor and a candidate would be the following: children and stepchildren (first degree); siblings and half-siblings (second degree); grandparents (second degree); grandchildren (second degree); aunts and uncles (third degree); nieces and nephews (third degree); great-grandparents (third degree) and great-grandchildren (third degree), all irrespective of whether the blood relationship is to the candidate or to the candidate’s spouse.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4.14(6)</w:t>
      </w:r>
      <w:r>
        <w:rPr>
          <w:rFonts w:ascii="Times New Roman" w:hAnsi="Times New Roman"/>
          <w:b w:val="false"/>
          <w:i w:val="false"/>
          <w:color w:val="000000"/>
          <w:sz w:val="22"/>
        </w:rPr>
        <w:t> </w:t>
      </w:r>
      <w:r>
        <w:rPr>
          <w:rFonts w:ascii="Times New Roman" w:hAnsi="Times New Roman"/>
          <w:b w:val="false"/>
          <w:i/>
          <w:color w:val="000000"/>
          <w:sz w:val="22"/>
        </w:rPr>
        <w:t xml:space="preserve">ID number and check number. </w:t>
      </w:r>
      <w:r>
        <w:rPr>
          <w:rFonts w:ascii="Times New Roman" w:hAnsi="Times New Roman"/>
          <w:b w:val="false"/>
          <w:i w:val="false"/>
          <w:color w:val="000000"/>
          <w:sz w:val="22"/>
        </w:rPr>
        <w:t xml:space="preserve">If a contribution to a statewide or general assembly candidate or a judge standing for retention is from a statewide political committee (PAC) or a state party committee, the candidate receiving the contribution shall include on the candidate’s disclosure report the board-assigned identification number of the contributing committee and the check number by which the contribution was made. A list of ID numbers may be obtained from the board and is also available on the board’s website at </w:t>
      </w:r>
      <w:hyperlink r:id="rId68">
        <w:r>
          <w:rPr>
            <w:rStyle w:val="Hyperlink"/>
            <w:rFonts w:ascii="Times New Roman" w:hAnsi="Times New Roman"/>
            <w:b w:val="false"/>
            <w:i w:val="false"/>
            <w:color w:val="000000"/>
            <w:sz w:val="22"/>
            <w:u w:val="single"/>
          </w:rPr>
          <w:t>ethics.iowa.gov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4.14(7)</w:t>
      </w:r>
      <w:r>
        <w:rPr>
          <w:rFonts w:ascii="Times New Roman" w:hAnsi="Times New Roman"/>
          <w:b w:val="false"/>
          <w:i w:val="false"/>
          <w:color w:val="000000"/>
          <w:sz w:val="22"/>
        </w:rPr>
        <w:t> </w:t>
      </w:r>
      <w:r>
        <w:rPr>
          <w:rFonts w:ascii="Times New Roman" w:hAnsi="Times New Roman"/>
          <w:b w:val="false"/>
          <w:i/>
          <w:color w:val="000000"/>
          <w:sz w:val="22"/>
        </w:rPr>
        <w:t xml:space="preserve">Fund-raiser income. </w:t>
      </w:r>
      <w:r>
        <w:rPr>
          <w:rFonts w:ascii="Times New Roman" w:hAnsi="Times New Roman"/>
          <w:b w:val="false"/>
          <w:i w:val="false"/>
          <w:color w:val="000000"/>
          <w:sz w:val="22"/>
        </w:rPr>
        <w:t>Contributions arising from the sale of goods or services at a fund-raising event shall be designated by marking the indicated space on the schedule.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4.14(8)</w:t>
      </w:r>
      <w:r>
        <w:rPr>
          <w:rFonts w:ascii="Times New Roman" w:hAnsi="Times New Roman"/>
          <w:b w:val="false"/>
          <w:i w:val="false"/>
          <w:color w:val="000000"/>
          <w:sz w:val="22"/>
        </w:rPr>
        <w:t> </w:t>
      </w:r>
      <w:r>
        <w:rPr>
          <w:rFonts w:ascii="Times New Roman" w:hAnsi="Times New Roman"/>
          <w:b w:val="false"/>
          <w:i/>
          <w:color w:val="000000"/>
          <w:sz w:val="22"/>
        </w:rPr>
        <w:t xml:space="preserve">Interest and other monetary receipts other than contributions. </w:t>
      </w:r>
      <w:r>
        <w:rPr>
          <w:rFonts w:ascii="Times New Roman" w:hAnsi="Times New Roman"/>
          <w:b w:val="false"/>
          <w:i w:val="false"/>
          <w:color w:val="000000"/>
          <w:sz w:val="22"/>
        </w:rPr>
        <w:t>If the monetary receipt is not a “contribution,” the name and address of the source of the funds shall be identified in the space provided for the name and address of “contributor,” with a notation as to the purpose of the payment, such as “bank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4.14(9)</w:t>
      </w:r>
      <w:r>
        <w:rPr>
          <w:rFonts w:ascii="Times New Roman" w:hAnsi="Times New Roman"/>
          <w:b w:val="false"/>
          <w:i w:val="false"/>
          <w:color w:val="000000"/>
          <w:sz w:val="22"/>
        </w:rPr>
        <w:t> </w:t>
      </w:r>
      <w:r>
        <w:rPr>
          <w:rFonts w:ascii="Times New Roman" w:hAnsi="Times New Roman"/>
          <w:b w:val="false"/>
          <w:i/>
          <w:color w:val="000000"/>
          <w:sz w:val="22"/>
        </w:rPr>
        <w:t xml:space="preserve">Reverse entries—refunds. </w:t>
      </w:r>
      <w:r>
        <w:rPr>
          <w:rFonts w:ascii="Times New Roman" w:hAnsi="Times New Roman"/>
          <w:b w:val="false"/>
          <w:i w:val="false"/>
          <w:color w:val="000000"/>
          <w:sz w:val="22"/>
        </w:rPr>
        <w:t>If a committee determines to decline or otherwise return a contribution after it has been received, accepted, and deposited, the committee may issue a refund to the contributor, which shall be reported on Schedule A as a reverse entry, reducing the monetary receipts.</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69">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351—4.15</w:t>
      </w:r>
      <w:r>
        <w:rPr>
          <w:rFonts w:ascii="Times New Roman" w:hAnsi="Times New Roman"/>
          <w:b/>
          <w:i w:val="false"/>
          <w:color w:val="000000"/>
          <w:sz w:val="22"/>
        </w:rPr>
        <w:t xml:space="preserve">(68A,68B) </w:t>
      </w:r>
      <w:r>
        <w:rPr>
          <w:rFonts w:ascii="Times New Roman" w:hAnsi="Times New Roman"/>
          <w:b/>
          <w:i w:val="false"/>
          <w:color w:val="000000"/>
          <w:sz w:val="22"/>
        </w:rPr>
        <w:t xml:space="preserve">Schedule B - Monetary Expenditures.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4.15(1)</w:t>
      </w:r>
      <w:r>
        <w:rPr>
          <w:rFonts w:ascii="Times New Roman" w:hAnsi="Times New Roman"/>
          <w:b w:val="false"/>
          <w:i w:val="false"/>
          <w:color w:val="000000"/>
          <w:sz w:val="22"/>
        </w:rPr>
        <w:t> </w:t>
      </w:r>
      <w:r>
        <w:rPr>
          <w:rFonts w:ascii="Times New Roman" w:hAnsi="Times New Roman"/>
          <w:b w:val="false"/>
          <w:i/>
          <w:color w:val="000000"/>
          <w:sz w:val="22"/>
        </w:rPr>
        <w:t xml:space="preserve">Date expended. </w:t>
      </w:r>
      <w:r>
        <w:rPr>
          <w:rFonts w:ascii="Times New Roman" w:hAnsi="Times New Roman"/>
          <w:b w:val="false"/>
          <w:i w:val="false"/>
          <w:color w:val="000000"/>
          <w:sz w:val="22"/>
        </w:rPr>
        <w:t>The committee shall report the amounts of all itemized expenditures (expenditures of $5 or more) made by the committee for the reporting period chronologically by the date expended. The date of the expenditure is the date the check is issued. The complete date (month/day/year)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4.15(2)</w:t>
      </w:r>
      <w:r>
        <w:rPr>
          <w:rFonts w:ascii="Times New Roman" w:hAnsi="Times New Roman"/>
          <w:b w:val="false"/>
          <w:i w:val="false"/>
          <w:color w:val="000000"/>
          <w:sz w:val="22"/>
        </w:rPr>
        <w:t> </w:t>
      </w:r>
      <w:r>
        <w:rPr>
          <w:rFonts w:ascii="Times New Roman" w:hAnsi="Times New Roman"/>
          <w:b w:val="false"/>
          <w:i/>
          <w:color w:val="000000"/>
          <w:sz w:val="22"/>
        </w:rPr>
        <w:t xml:space="preserve">Name and address of recipient. </w:t>
      </w:r>
      <w:r>
        <w:rPr>
          <w:rFonts w:ascii="Times New Roman" w:hAnsi="Times New Roman"/>
          <w:b w:val="false"/>
          <w:i w:val="false"/>
          <w:color w:val="000000"/>
          <w:sz w:val="22"/>
        </w:rPr>
        <w:t>The schedule shall include the name and address of each person to whom disbursements, other than loan repayments, were made during the reporting period. (Loan repayments shall be reported on Schedule 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4.15(3)</w:t>
      </w:r>
      <w:r>
        <w:rPr>
          <w:rFonts w:ascii="Times New Roman" w:hAnsi="Times New Roman"/>
          <w:b w:val="false"/>
          <w:i w:val="false"/>
          <w:color w:val="000000"/>
          <w:sz w:val="22"/>
        </w:rPr>
        <w:t> </w:t>
      </w:r>
      <w:r>
        <w:rPr>
          <w:rFonts w:ascii="Times New Roman" w:hAnsi="Times New Roman"/>
          <w:b w:val="false"/>
          <w:i/>
          <w:color w:val="000000"/>
          <w:sz w:val="22"/>
        </w:rPr>
        <w:t xml:space="preserve">Purpose of expenditure. </w:t>
      </w:r>
      <w:r>
        <w:rPr>
          <w:rFonts w:ascii="Times New Roman" w:hAnsi="Times New Roman"/>
          <w:b w:val="false"/>
          <w:i w:val="false"/>
          <w:color w:val="000000"/>
          <w:sz w:val="22"/>
        </w:rPr>
        <w:t>The schedule shall include a description of the purpose of each disbursement. The description shall be a clear and concise statement that specifically describes the transaction which has occurred. The following general terms are examples of descriptions which are not acceptable: “expenses,” “reimbursement,” “candidate expense,” “services,” “supplies,” and “miscellaneous expense.” The following are examples of acceptable descriptions: “printing—candidate yard signs,” “printing—PAC membership solicitation letter,” “mailing—candidate brochures,” “reimbursement for candidate lodging to attend campaign event,” or “mileage reimbursement—150 miles @ 25¢ per mile.” A combined description is not acceptable unless sufficient information is provided so that the cost of separate purposes can be discerned, for example, “printing and mailing of 1,000 brochures.”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4.15(4)</w:t>
      </w:r>
      <w:r>
        <w:rPr>
          <w:rFonts w:ascii="Times New Roman" w:hAnsi="Times New Roman"/>
          <w:b w:val="false"/>
          <w:i w:val="false"/>
          <w:color w:val="000000"/>
          <w:sz w:val="22"/>
        </w:rPr>
        <w:t> </w:t>
      </w:r>
      <w:r>
        <w:rPr>
          <w:rFonts w:ascii="Times New Roman" w:hAnsi="Times New Roman"/>
          <w:b w:val="false"/>
          <w:i/>
          <w:color w:val="000000"/>
          <w:sz w:val="22"/>
        </w:rPr>
        <w:t xml:space="preserve">Miscellaneous (unitemized) expenses. </w:t>
      </w:r>
      <w:r>
        <w:rPr>
          <w:rFonts w:ascii="Times New Roman" w:hAnsi="Times New Roman"/>
          <w:b w:val="false"/>
          <w:i w:val="false"/>
          <w:color w:val="000000"/>
          <w:sz w:val="22"/>
        </w:rPr>
        <w:t>Notwithstanding the other provisions of this rule, disbursements of less than $5 may be shown as miscellaneous disbursements or expenses for the period so long as the aggregate miscellaneous disbursements to any one person during a calendar year do not exceed $100.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4.15(5)</w:t>
      </w:r>
      <w:r>
        <w:rPr>
          <w:rFonts w:ascii="Times New Roman" w:hAnsi="Times New Roman"/>
          <w:b w:val="false"/>
          <w:i w:val="false"/>
          <w:color w:val="000000"/>
          <w:sz w:val="22"/>
        </w:rPr>
        <w:t> </w:t>
      </w:r>
      <w:r>
        <w:rPr>
          <w:rFonts w:ascii="Times New Roman" w:hAnsi="Times New Roman"/>
          <w:b w:val="false"/>
          <w:i/>
          <w:color w:val="000000"/>
          <w:sz w:val="22"/>
        </w:rPr>
        <w:t xml:space="preserve">Candidate ID number and committee check number. </w:t>
      </w:r>
      <w:r>
        <w:rPr>
          <w:rFonts w:ascii="Times New Roman" w:hAnsi="Times New Roman"/>
          <w:b w:val="false"/>
          <w:i w:val="false"/>
          <w:color w:val="000000"/>
          <w:sz w:val="22"/>
        </w:rPr>
        <w:t xml:space="preserve">If a contribution is made by a statewide political committee (PAC) or a state party committee to a statewide or general assembly candidate or a judge standing for retention, the committee making the contribution shall include on the committee’s disclosure report the board-assigned identification number of the recipient candidate’s committee and the check number by which the contribution was made. A list of candidate ID numbers may be obtained from the board and is also available on the board’s website at </w:t>
      </w:r>
      <w:hyperlink r:id="rId70">
        <w:r>
          <w:rPr>
            <w:rStyle w:val="Hyperlink"/>
            <w:rFonts w:ascii="Times New Roman" w:hAnsi="Times New Roman"/>
            <w:b w:val="false"/>
            <w:i w:val="false"/>
            <w:color w:val="000000"/>
            <w:sz w:val="22"/>
            <w:u w:val="single"/>
          </w:rPr>
          <w:t>ethics.iowa.gov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4.15(6)</w:t>
      </w:r>
      <w:r>
        <w:rPr>
          <w:rFonts w:ascii="Times New Roman" w:hAnsi="Times New Roman"/>
          <w:b w:val="false"/>
          <w:i w:val="false"/>
          <w:color w:val="000000"/>
          <w:sz w:val="22"/>
        </w:rPr>
        <w:t> </w:t>
      </w:r>
      <w:r>
        <w:rPr>
          <w:rFonts w:ascii="Times New Roman" w:hAnsi="Times New Roman"/>
          <w:b w:val="false"/>
          <w:i/>
          <w:color w:val="000000"/>
          <w:sz w:val="22"/>
        </w:rPr>
        <w:t xml:space="preserve">Check transactions required. </w:t>
      </w:r>
      <w:r>
        <w:rPr>
          <w:rFonts w:ascii="Times New Roman" w:hAnsi="Times New Roman"/>
          <w:b w:val="false"/>
          <w:i w:val="false"/>
          <w:color w:val="000000"/>
          <w:sz w:val="22"/>
        </w:rPr>
        <w:t xml:space="preserve">All disbursements, including all expenditures and any other withdrawals from committee funds, shall be by check. Cash withdrawals and “petty cash” accounts are not permitted. Committees’ activities which necessitate cash drawers or other cash transactions shall be conducted and reported as provided by rule </w:t>
      </w:r>
      <w:hyperlink r:id="rId71">
        <w:r>
          <w:rPr>
            <w:rStyle w:val="Hyperlink"/>
            <w:rFonts w:ascii="Times New Roman" w:hAnsi="Times New Roman"/>
            <w:b w:val="false"/>
            <w:i w:val="false"/>
            <w:color w:val="000000"/>
            <w:sz w:val="22"/>
          </w:rPr>
          <w:t>351—4.36</w:t>
        </w:r>
      </w:hyperlink>
      <w:r>
        <w:rPr>
          <w:rFonts w:ascii="Times New Roman" w:hAnsi="Times New Roman"/>
          <w:b w:val="false"/>
          <w:i w:val="false"/>
          <w:color w:val="000000"/>
          <w:sz w:val="22"/>
        </w:rPr>
        <w:t>(68A,68B).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4.15(7)</w:t>
      </w:r>
      <w:r>
        <w:rPr>
          <w:rFonts w:ascii="Times New Roman" w:hAnsi="Times New Roman"/>
          <w:b w:val="false"/>
          <w:i w:val="false"/>
          <w:color w:val="000000"/>
          <w:sz w:val="22"/>
        </w:rPr>
        <w:t> </w:t>
      </w:r>
      <w:r>
        <w:rPr>
          <w:rFonts w:ascii="Times New Roman" w:hAnsi="Times New Roman"/>
          <w:b w:val="false"/>
          <w:i/>
          <w:color w:val="000000"/>
          <w:sz w:val="22"/>
        </w:rPr>
        <w:t xml:space="preserve">Reverse entries—refunds. </w:t>
      </w:r>
      <w:r>
        <w:rPr>
          <w:rFonts w:ascii="Times New Roman" w:hAnsi="Times New Roman"/>
          <w:b w:val="false"/>
          <w:i w:val="false"/>
          <w:color w:val="000000"/>
          <w:sz w:val="22"/>
        </w:rPr>
        <w:t>If a committee receives a refund of all or part of a disbursement previously made, the committee shall report the refund on Schedule B as a reverse entry, reducing the monetary expenditures. The purpose should include an explanation as to why the refund was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4.15(8)</w:t>
      </w:r>
      <w:r>
        <w:rPr>
          <w:rFonts w:ascii="Times New Roman" w:hAnsi="Times New Roman"/>
          <w:b w:val="false"/>
          <w:i w:val="false"/>
          <w:color w:val="000000"/>
          <w:sz w:val="22"/>
        </w:rPr>
        <w:t> </w:t>
      </w:r>
      <w:r>
        <w:rPr>
          <w:rFonts w:ascii="Times New Roman" w:hAnsi="Times New Roman"/>
          <w:b w:val="false"/>
          <w:i/>
          <w:color w:val="000000"/>
          <w:sz w:val="22"/>
        </w:rPr>
        <w:t xml:space="preserve">Interest paid; bank charges. </w:t>
      </w:r>
      <w:r>
        <w:rPr>
          <w:rFonts w:ascii="Times New Roman" w:hAnsi="Times New Roman"/>
          <w:b w:val="false"/>
          <w:i w:val="false"/>
          <w:color w:val="000000"/>
          <w:sz w:val="22"/>
        </w:rPr>
        <w:t xml:space="preserve">Although repayments of loan principal are reported on Schedule F (see rule </w:t>
      </w:r>
      <w:hyperlink r:id="rId72">
        <w:r>
          <w:rPr>
            <w:rStyle w:val="Hyperlink"/>
            <w:rFonts w:ascii="Times New Roman" w:hAnsi="Times New Roman"/>
            <w:b w:val="false"/>
            <w:i w:val="false"/>
            <w:color w:val="000000"/>
            <w:sz w:val="22"/>
          </w:rPr>
          <w:t>351—4.18</w:t>
        </w:r>
      </w:hyperlink>
      <w:r>
        <w:rPr>
          <w:rFonts w:ascii="Times New Roman" w:hAnsi="Times New Roman"/>
          <w:b w:val="false"/>
          <w:i w:val="false"/>
          <w:color w:val="000000"/>
          <w:sz w:val="22"/>
        </w:rPr>
        <w:t>(68A,68B)), interest payments on loans shall be reported on Schedule B. Bank service charges and fees (e.g., monthly service fees, costs for check printing, returned check charges) shall also be reported and identified on Schedule B.</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3">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351—4.16</w:t>
      </w:r>
      <w:r>
        <w:rPr>
          <w:rFonts w:ascii="Times New Roman" w:hAnsi="Times New Roman"/>
          <w:b/>
          <w:i w:val="false"/>
          <w:color w:val="000000"/>
          <w:sz w:val="22"/>
        </w:rPr>
        <w:t xml:space="preserve">(68A,68B) </w:t>
      </w:r>
      <w:r>
        <w:rPr>
          <w:rFonts w:ascii="Times New Roman" w:hAnsi="Times New Roman"/>
          <w:b/>
          <w:i w:val="false"/>
          <w:color w:val="000000"/>
          <w:sz w:val="22"/>
        </w:rPr>
        <w:t xml:space="preserve">Schedule D - Incurred Indebtedness.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4.16(1)</w:t>
      </w:r>
      <w:r>
        <w:rPr>
          <w:rFonts w:ascii="Times New Roman" w:hAnsi="Times New Roman"/>
          <w:b w:val="false"/>
          <w:i w:val="false"/>
          <w:color w:val="000000"/>
          <w:sz w:val="22"/>
        </w:rPr>
        <w:t> </w:t>
      </w:r>
      <w:r>
        <w:rPr>
          <w:rFonts w:ascii="Times New Roman" w:hAnsi="Times New Roman"/>
          <w:b w:val="false"/>
          <w:i/>
          <w:color w:val="000000"/>
          <w:sz w:val="22"/>
        </w:rPr>
        <w:t xml:space="preserve">Reporting of debts and obligations other than monetary loans. </w:t>
      </w:r>
      <w:r>
        <w:rPr>
          <w:rFonts w:ascii="Times New Roman" w:hAnsi="Times New Roman"/>
          <w:b w:val="false"/>
          <w:i w:val="false"/>
          <w:color w:val="000000"/>
          <w:sz w:val="22"/>
        </w:rPr>
        <w:t xml:space="preserve">The committee shall report all debts and obligations owed by the committee which are in excess of the thresholds in subrule </w:t>
      </w:r>
      <w:hyperlink r:id="rId74">
        <w:r>
          <w:rPr>
            <w:rStyle w:val="Hyperlink"/>
            <w:rFonts w:ascii="Times New Roman" w:hAnsi="Times New Roman"/>
            <w:b w:val="false"/>
            <w:i w:val="false"/>
            <w:color w:val="000000"/>
            <w:sz w:val="22"/>
          </w:rPr>
          <w:t>4.14(3)</w:t>
        </w:r>
      </w:hyperlink>
      <w:r>
        <w:rPr>
          <w:rFonts w:ascii="Times New Roman" w:hAnsi="Times New Roman"/>
          <w:b w:val="false"/>
          <w:i w:val="false"/>
          <w:color w:val="000000"/>
          <w:sz w:val="22"/>
        </w:rPr>
        <w:t>. This applies to any unpaid debt or obligations incurred by the committee for the purchase of a good or service, either as a debt or obligation owed to the immediate provider of the good or service, or as a debt or obligation owed to an individual who initially personally paid for the good or service on behalf of the committee with the expectation of ultimately receiving reimbursement from the committee. However, monetary loans to the committee (which are deposited directly into the committee’s account) shall be reported on Schedule F, not on Schedule 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4.16(2)</w:t>
      </w:r>
      <w:r>
        <w:rPr>
          <w:rFonts w:ascii="Times New Roman" w:hAnsi="Times New Roman"/>
          <w:b w:val="false"/>
          <w:i w:val="false"/>
          <w:color w:val="000000"/>
          <w:sz w:val="22"/>
        </w:rPr>
        <w:t> </w:t>
      </w:r>
      <w:r>
        <w:rPr>
          <w:rFonts w:ascii="Times New Roman" w:hAnsi="Times New Roman"/>
          <w:b w:val="false"/>
          <w:i/>
          <w:color w:val="000000"/>
          <w:sz w:val="22"/>
        </w:rPr>
        <w:t xml:space="preserve">Date incurred; balance owed. </w:t>
      </w:r>
      <w:r>
        <w:rPr>
          <w:rFonts w:ascii="Times New Roman" w:hAnsi="Times New Roman"/>
          <w:b w:val="false"/>
          <w:i w:val="false"/>
          <w:color w:val="000000"/>
          <w:sz w:val="22"/>
        </w:rPr>
        <w:t>The committee shall report the amounts of all indebtedness owed by the committee at the end of the reporting period, reported chronologically by the date incurred. The date the debt or obligation is incurred is the date on which the committee committed to obtaining the good or service underlying the obligation. This date may be earlier than the date the provider of the good or service issues a bill to the committee. For example, if the committee places a printing order, but the printer does not issue a bill until some time after the order is placed, the date which shall be reported as the date the debt was incurred is the date the order is placed, not the date the bill was issued. If the precise amount of the final bill is not known by the time the report is due, the committee shall provide its best estimate as to what the obligation will be, with an indication “(e)” that the amount reported is an estimate. The complete date (month/day/year) shall be provided. Debts and obligations incurred and reported in a prior reporting period but which remain unpaid as of the end of the current reporting period shall be included, showing the remaining balance on the obligation, as well as any new obligations incurred in the current reporting period. Payments of all or part of a previously reported obligation shall be reported as expenditures on Schedule 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4.16(3)</w:t>
      </w:r>
      <w:r>
        <w:rPr>
          <w:rFonts w:ascii="Times New Roman" w:hAnsi="Times New Roman"/>
          <w:b w:val="false"/>
          <w:i w:val="false"/>
          <w:color w:val="000000"/>
          <w:sz w:val="22"/>
        </w:rPr>
        <w:t> </w:t>
      </w:r>
      <w:r>
        <w:rPr>
          <w:rFonts w:ascii="Times New Roman" w:hAnsi="Times New Roman"/>
          <w:b w:val="false"/>
          <w:i/>
          <w:color w:val="000000"/>
          <w:sz w:val="22"/>
        </w:rPr>
        <w:t xml:space="preserve">Name and address of person to whom the debt or obligation is owed. </w:t>
      </w:r>
      <w:r>
        <w:rPr>
          <w:rFonts w:ascii="Times New Roman" w:hAnsi="Times New Roman"/>
          <w:b w:val="false"/>
          <w:i w:val="false"/>
          <w:color w:val="000000"/>
          <w:sz w:val="22"/>
        </w:rPr>
        <w:t>The schedule shall contain the name and address of each person to whom an obligation is owed, including both those obligations which were incurred during the reporting period and those outstanding obligations which are being carried forward from prior reports. If the obligation is owed to an individual who initially personally paid for the good or service on behalf of the committee with the expectation of ultimately receiving reimbursement from the committee, the original nature of the obligation shall be provided; the name and address of the original provider of the good or service shall also be provided, unless the nature of the obligation indicates that the obligation is for the anticipated reimbursement for mileage or postage stamps.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4.16(4)</w:t>
      </w:r>
      <w:r>
        <w:rPr>
          <w:rFonts w:ascii="Times New Roman" w:hAnsi="Times New Roman"/>
          <w:b w:val="false"/>
          <w:i w:val="false"/>
          <w:color w:val="000000"/>
          <w:sz w:val="22"/>
        </w:rPr>
        <w:t> </w:t>
      </w:r>
      <w:r>
        <w:rPr>
          <w:rFonts w:ascii="Times New Roman" w:hAnsi="Times New Roman"/>
          <w:b w:val="false"/>
          <w:i/>
          <w:color w:val="000000"/>
          <w:sz w:val="22"/>
        </w:rPr>
        <w:t xml:space="preserve">Nature of obligation. </w:t>
      </w:r>
      <w:r>
        <w:rPr>
          <w:rFonts w:ascii="Times New Roman" w:hAnsi="Times New Roman"/>
          <w:b w:val="false"/>
          <w:i w:val="false"/>
          <w:color w:val="000000"/>
          <w:sz w:val="22"/>
        </w:rPr>
        <w:t>The schedule shall include a description of the nature of each obligation. The description shall be a clear and concise statement that specifically describes the transaction which has occurred. The following general terms are examples of descriptions which are not acceptable: “expenses,” “reimbursement,” “candidate expense,” “services,” “supplies,” and “miscellaneous expense.” The following are examples of acceptable descriptions: “printing—candidate yard signs,” “printing—PAC membership solicitation letter,” “mailing—candidate brochures,” “anticipated reimbursement for candidate lodging to attend campaign event,” or “anticipated mileage reimbursement—150 miles @ 25¢ per mile.” A combined description is not acceptable unless sufficient information is provided so that the cost of separate purposes can be discerned, for example, “printing and mailing of 1,000 brochures.”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5">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351—4.17</w:t>
      </w:r>
      <w:r>
        <w:rPr>
          <w:rFonts w:ascii="Times New Roman" w:hAnsi="Times New Roman"/>
          <w:b/>
          <w:i w:val="false"/>
          <w:color w:val="000000"/>
          <w:sz w:val="22"/>
        </w:rPr>
        <w:t xml:space="preserve">(68A,68B) </w:t>
      </w:r>
      <w:r>
        <w:rPr>
          <w:rFonts w:ascii="Times New Roman" w:hAnsi="Times New Roman"/>
          <w:b/>
          <w:i w:val="false"/>
          <w:color w:val="000000"/>
          <w:sz w:val="22"/>
        </w:rPr>
        <w:t xml:space="preserve">Schedule E - In-kind Contributions.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4.17(1)</w:t>
      </w:r>
      <w:r>
        <w:rPr>
          <w:rFonts w:ascii="Times New Roman" w:hAnsi="Times New Roman"/>
          <w:b w:val="false"/>
          <w:i w:val="false"/>
          <w:color w:val="000000"/>
          <w:sz w:val="22"/>
        </w:rPr>
        <w:t> </w:t>
      </w:r>
      <w:r>
        <w:rPr>
          <w:rFonts w:ascii="Times New Roman" w:hAnsi="Times New Roman"/>
          <w:b w:val="false"/>
          <w:i/>
          <w:color w:val="000000"/>
          <w:sz w:val="22"/>
        </w:rPr>
        <w:t xml:space="preserve">Reporting of all in-kind contributions; chronological listing. </w:t>
      </w:r>
      <w:r>
        <w:rPr>
          <w:rFonts w:ascii="Times New Roman" w:hAnsi="Times New Roman"/>
          <w:b w:val="false"/>
          <w:i w:val="false"/>
          <w:color w:val="000000"/>
          <w:sz w:val="22"/>
        </w:rPr>
        <w:t>The committee shall report the amounts of all in-kind contributions which are accepted by the committee during the reporting period. The schedule entries shall be listed in chronological order by the date on which the contribution is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4.17(2)</w:t>
      </w:r>
      <w:r>
        <w:rPr>
          <w:rFonts w:ascii="Times New Roman" w:hAnsi="Times New Roman"/>
          <w:b w:val="false"/>
          <w:i w:val="false"/>
          <w:color w:val="000000"/>
          <w:sz w:val="22"/>
        </w:rPr>
        <w:t> </w:t>
      </w:r>
      <w:r>
        <w:rPr>
          <w:rFonts w:ascii="Times New Roman" w:hAnsi="Times New Roman"/>
          <w:b w:val="false"/>
          <w:i/>
          <w:color w:val="000000"/>
          <w:sz w:val="22"/>
        </w:rPr>
        <w:t xml:space="preserve">Date of contribution—date received. </w:t>
      </w:r>
      <w:r>
        <w:rPr>
          <w:rFonts w:ascii="Times New Roman" w:hAnsi="Times New Roman"/>
          <w:b w:val="false"/>
          <w:i w:val="false"/>
          <w:color w:val="000000"/>
          <w:sz w:val="22"/>
        </w:rPr>
        <w:t>The schedule shall include the complete date (month/day/year) on which the in-kind contribution was provided to the committee. The actual or fair market value of the in-kind contribution shall be reported regardless of whether or not the person providing the in-kind contribution has been billed for the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4.17(3)</w:t>
      </w:r>
      <w:r>
        <w:rPr>
          <w:rFonts w:ascii="Times New Roman" w:hAnsi="Times New Roman"/>
          <w:b w:val="false"/>
          <w:i w:val="false"/>
          <w:color w:val="000000"/>
          <w:sz w:val="22"/>
        </w:rPr>
        <w:t> </w:t>
      </w:r>
      <w:r>
        <w:rPr>
          <w:rFonts w:ascii="Times New Roman" w:hAnsi="Times New Roman"/>
          <w:b w:val="false"/>
          <w:i/>
          <w:color w:val="000000"/>
          <w:sz w:val="22"/>
        </w:rPr>
        <w:t xml:space="preserve">Name and address of contributor. </w:t>
      </w:r>
      <w:r>
        <w:rPr>
          <w:rFonts w:ascii="Times New Roman" w:hAnsi="Times New Roman"/>
          <w:b w:val="false"/>
          <w:i w:val="false"/>
          <w:color w:val="000000"/>
          <w:sz w:val="22"/>
        </w:rPr>
        <w:t>The schedule shall include the name and address of each person who has made one or more in-kind contributions to the committee if the aggregate amount of contributions (either monetary or in-kind) received from that person in the calendar year exceeds $25, except that the itemization threshold is $200 for a state statutory political committee and $50 for a county statutory political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4.17(4)</w:t>
      </w:r>
      <w:r>
        <w:rPr>
          <w:rFonts w:ascii="Times New Roman" w:hAnsi="Times New Roman"/>
          <w:b w:val="false"/>
          <w:i w:val="false"/>
          <w:color w:val="000000"/>
          <w:sz w:val="22"/>
        </w:rPr>
        <w:t> </w:t>
      </w:r>
      <w:r>
        <w:rPr>
          <w:rFonts w:ascii="Times New Roman" w:hAnsi="Times New Roman"/>
          <w:b w:val="false"/>
          <w:i/>
          <w:color w:val="000000"/>
          <w:sz w:val="22"/>
        </w:rPr>
        <w:t xml:space="preserve">Relationship to candidate. </w:t>
      </w:r>
      <w:r>
        <w:rPr>
          <w:rFonts w:ascii="Times New Roman" w:hAnsi="Times New Roman"/>
          <w:b w:val="false"/>
          <w:i w:val="false"/>
          <w:color w:val="000000"/>
          <w:sz w:val="22"/>
        </w:rPr>
        <w:t xml:space="preserve">In the case of in-kind contributions to candidates’ committees, the schedule shall include information indicating whether the contributor is related to the candidate within the third degree of consanguinity or affinity, as defined in subrule </w:t>
      </w:r>
      <w:hyperlink r:id="rId76">
        <w:r>
          <w:rPr>
            <w:rStyle w:val="Hyperlink"/>
            <w:rFonts w:ascii="Times New Roman" w:hAnsi="Times New Roman"/>
            <w:b w:val="false"/>
            <w:i w:val="false"/>
            <w:color w:val="000000"/>
            <w:sz w:val="22"/>
          </w:rPr>
          <w:t>4.14(5)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4.17(5)</w:t>
      </w:r>
      <w:r>
        <w:rPr>
          <w:rFonts w:ascii="Times New Roman" w:hAnsi="Times New Roman"/>
          <w:b w:val="false"/>
          <w:i w:val="false"/>
          <w:color w:val="000000"/>
          <w:sz w:val="22"/>
        </w:rPr>
        <w:t> </w:t>
      </w:r>
      <w:r>
        <w:rPr>
          <w:rFonts w:ascii="Times New Roman" w:hAnsi="Times New Roman"/>
          <w:b w:val="false"/>
          <w:i/>
          <w:color w:val="000000"/>
          <w:sz w:val="22"/>
        </w:rPr>
        <w:t xml:space="preserve">Description of in-kind contribution; loaned equipment as in-kind contribution.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schedule shall include a description of the good or service contributed to the committee in kind. The description shall be a clear and concise statement that specifically describes the transaction which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committee’s use of equipment owned by another organization, committee, or individual is reportable as an in-kind contribution. Equipment includes, but is not limited to, typewriters, calculators, copy machines, office furniture, computers and printers.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4.17(6)</w:t>
      </w:r>
      <w:r>
        <w:rPr>
          <w:rFonts w:ascii="Times New Roman" w:hAnsi="Times New Roman"/>
          <w:b w:val="false"/>
          <w:i w:val="false"/>
          <w:color w:val="000000"/>
          <w:sz w:val="22"/>
        </w:rPr>
        <w:t> </w:t>
      </w:r>
      <w:r>
        <w:rPr>
          <w:rFonts w:ascii="Times New Roman" w:hAnsi="Times New Roman"/>
          <w:b w:val="false"/>
          <w:i/>
          <w:color w:val="000000"/>
          <w:sz w:val="22"/>
        </w:rPr>
        <w:t xml:space="preserve">Fair market value. </w:t>
      </w:r>
      <w:r>
        <w:rPr>
          <w:rFonts w:ascii="Times New Roman" w:hAnsi="Times New Roman"/>
          <w:b w:val="false"/>
          <w:i w:val="false"/>
          <w:color w:val="000000"/>
          <w:sz w:val="22"/>
        </w:rPr>
        <w:t>The committee shall provide either the actual (if known) or estimated fair market value of the good or service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4.17(7)</w:t>
      </w:r>
      <w:r>
        <w:rPr>
          <w:rFonts w:ascii="Times New Roman" w:hAnsi="Times New Roman"/>
          <w:b w:val="false"/>
          <w:i w:val="false"/>
          <w:color w:val="000000"/>
          <w:sz w:val="22"/>
        </w:rPr>
        <w:t> </w:t>
      </w:r>
      <w:r>
        <w:rPr>
          <w:rFonts w:ascii="Times New Roman" w:hAnsi="Times New Roman"/>
          <w:b w:val="false"/>
          <w:i/>
          <w:color w:val="000000"/>
          <w:sz w:val="22"/>
        </w:rPr>
        <w:t xml:space="preserve">Fund-raiser item. </w:t>
      </w:r>
      <w:r>
        <w:rPr>
          <w:rFonts w:ascii="Times New Roman" w:hAnsi="Times New Roman"/>
          <w:b w:val="false"/>
          <w:i w:val="false"/>
          <w:color w:val="000000"/>
          <w:sz w:val="22"/>
        </w:rPr>
        <w:t>Goods or services contributed in kind for sale at a fund-raising event shall be designated by marking the indicated space on the schedule.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4.17(8)</w:t>
      </w:r>
      <w:r>
        <w:rPr>
          <w:rFonts w:ascii="Times New Roman" w:hAnsi="Times New Roman"/>
          <w:b w:val="false"/>
          <w:i w:val="false"/>
          <w:color w:val="000000"/>
          <w:sz w:val="22"/>
        </w:rPr>
        <w:t> </w:t>
      </w:r>
      <w:r>
        <w:rPr>
          <w:rFonts w:ascii="Times New Roman" w:hAnsi="Times New Roman"/>
          <w:b w:val="false"/>
          <w:i/>
          <w:color w:val="000000"/>
          <w:sz w:val="22"/>
        </w:rPr>
        <w:t xml:space="preserve">Unitemized contributions. </w:t>
      </w:r>
      <w:r>
        <w:rPr>
          <w:rFonts w:ascii="Times New Roman" w:hAnsi="Times New Roman"/>
          <w:b w:val="false"/>
          <w:i w:val="false"/>
          <w:color w:val="000000"/>
          <w:sz w:val="22"/>
        </w:rPr>
        <w:t xml:space="preserve">Notwithstanding the other provisions of this rule, in-kind contributions with a fair market value less than the itemization threshold noted in subrule </w:t>
      </w:r>
      <w:hyperlink r:id="rId77">
        <w:r>
          <w:rPr>
            <w:rStyle w:val="Hyperlink"/>
            <w:rFonts w:ascii="Times New Roman" w:hAnsi="Times New Roman"/>
            <w:b w:val="false"/>
            <w:i w:val="false"/>
            <w:color w:val="000000"/>
            <w:sz w:val="22"/>
          </w:rPr>
          <w:t>4.17(3)</w:t>
        </w:r>
      </w:hyperlink>
      <w:r>
        <w:rPr>
          <w:rFonts w:ascii="Times New Roman" w:hAnsi="Times New Roman"/>
          <w:b w:val="false"/>
          <w:i w:val="false"/>
          <w:color w:val="000000"/>
          <w:sz w:val="22"/>
        </w:rPr>
        <w:t xml:space="preserve"> may be reported as “unitemized in-kind contributions.”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8">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8826B</w:t>
      </w:r>
      <w:r>
        <w:rPr>
          <w:rFonts w:ascii="Times New Roman" w:hAnsi="Times New Roman"/>
          <w:b w:val="false"/>
          <w:i w:val="false"/>
          <w:color w:val="000000"/>
          <w:sz w:val="16"/>
        </w:rPr>
        <w:t>, IAB 6/2/10, effective 5/17/10</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351—4.18</w:t>
      </w:r>
      <w:r>
        <w:rPr>
          <w:rFonts w:ascii="Times New Roman" w:hAnsi="Times New Roman"/>
          <w:b/>
          <w:i w:val="false"/>
          <w:color w:val="000000"/>
          <w:sz w:val="22"/>
        </w:rPr>
        <w:t xml:space="preserve">(68A,68B) </w:t>
      </w:r>
      <w:r>
        <w:rPr>
          <w:rFonts w:ascii="Times New Roman" w:hAnsi="Times New Roman"/>
          <w:b/>
          <w:i w:val="false"/>
          <w:color w:val="000000"/>
          <w:sz w:val="22"/>
        </w:rPr>
        <w:t xml:space="preserve">Schedule F - Loans Received and Repaid.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4.18(1)</w:t>
      </w:r>
      <w:r>
        <w:rPr>
          <w:rFonts w:ascii="Times New Roman" w:hAnsi="Times New Roman"/>
          <w:b w:val="false"/>
          <w:i w:val="false"/>
          <w:color w:val="000000"/>
          <w:sz w:val="22"/>
        </w:rPr>
        <w:t> </w:t>
      </w:r>
      <w:r>
        <w:rPr>
          <w:rFonts w:ascii="Times New Roman" w:hAnsi="Times New Roman"/>
          <w:b w:val="false"/>
          <w:i/>
          <w:color w:val="000000"/>
          <w:sz w:val="22"/>
        </w:rPr>
        <w:t xml:space="preserve">Reporting of monetary loans (not debts and obligations for goods and services). </w:t>
      </w:r>
      <w:r>
        <w:rPr>
          <w:rFonts w:ascii="Times New Roman" w:hAnsi="Times New Roman"/>
          <w:b w:val="false"/>
          <w:i w:val="false"/>
          <w:color w:val="000000"/>
          <w:sz w:val="22"/>
        </w:rPr>
        <w:t>The committee shall report all loan activity made to or repaid by the committee during the reporting period. This applies to any loan of money which is deposited into the committee’s accounts. However, other debts and obligations owed for the provision of goods or services to the committee (which are not monetary advances deposited into the committee’s account) shall be reported on Schedule D, not on Schedule 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4.18(2)</w:t>
      </w:r>
      <w:r>
        <w:rPr>
          <w:rFonts w:ascii="Times New Roman" w:hAnsi="Times New Roman"/>
          <w:b w:val="false"/>
          <w:i w:val="false"/>
          <w:color w:val="000000"/>
          <w:sz w:val="22"/>
        </w:rPr>
        <w:t> </w:t>
      </w:r>
      <w:r>
        <w:rPr>
          <w:rFonts w:ascii="Times New Roman" w:hAnsi="Times New Roman"/>
          <w:b w:val="false"/>
          <w:i/>
          <w:color w:val="000000"/>
          <w:sz w:val="22"/>
        </w:rPr>
        <w:t xml:space="preserve">Report of lump sum of unpaid loans carried over from last report. </w:t>
      </w:r>
      <w:r>
        <w:rPr>
          <w:rFonts w:ascii="Times New Roman" w:hAnsi="Times New Roman"/>
          <w:b w:val="false"/>
          <w:i w:val="false"/>
          <w:color w:val="000000"/>
          <w:sz w:val="22"/>
        </w:rPr>
        <w:t>The schedule shall contain a beginning entry of the total unpaid loans as of the last report. Loans received and itemized on prior reports should not be re-itemized on the current report, except as necessary to indicate repayment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4.18(3)</w:t>
      </w:r>
      <w:r>
        <w:rPr>
          <w:rFonts w:ascii="Times New Roman" w:hAnsi="Times New Roman"/>
          <w:b w:val="false"/>
          <w:i w:val="false"/>
          <w:color w:val="000000"/>
          <w:sz w:val="22"/>
        </w:rPr>
        <w:t> </w:t>
      </w:r>
      <w:r>
        <w:rPr>
          <w:rFonts w:ascii="Times New Roman" w:hAnsi="Times New Roman"/>
          <w:b w:val="false"/>
          <w:i/>
          <w:color w:val="000000"/>
          <w:sz w:val="22"/>
        </w:rPr>
        <w:t xml:space="preserve">Date received. </w:t>
      </w:r>
      <w:r>
        <w:rPr>
          <w:rFonts w:ascii="Times New Roman" w:hAnsi="Times New Roman"/>
          <w:b w:val="false"/>
          <w:i w:val="false"/>
          <w:color w:val="000000"/>
          <w:sz w:val="22"/>
        </w:rPr>
        <w:t>The schedule shall include the complete date (month/day/year) the loan was physically received by a person on behalf of the committee. If the loan was by check, the date of the loan to be reported is the date the check is physically received by a person on behalf of the committee, even if this date is different from the date shown on the check.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4.18(4)</w:t>
      </w:r>
      <w:r>
        <w:rPr>
          <w:rFonts w:ascii="Times New Roman" w:hAnsi="Times New Roman"/>
          <w:b w:val="false"/>
          <w:i w:val="false"/>
          <w:color w:val="000000"/>
          <w:sz w:val="22"/>
        </w:rPr>
        <w:t> </w:t>
      </w:r>
      <w:r>
        <w:rPr>
          <w:rFonts w:ascii="Times New Roman" w:hAnsi="Times New Roman"/>
          <w:b w:val="false"/>
          <w:i/>
          <w:color w:val="000000"/>
          <w:sz w:val="22"/>
        </w:rPr>
        <w:t xml:space="preserve">Date paid. </w:t>
      </w:r>
      <w:r>
        <w:rPr>
          <w:rFonts w:ascii="Times New Roman" w:hAnsi="Times New Roman"/>
          <w:b w:val="false"/>
          <w:i w:val="false"/>
          <w:color w:val="000000"/>
          <w:sz w:val="22"/>
        </w:rPr>
        <w:t xml:space="preserve">The schedule shall include the complete date (month/day/year) a full or partial loan repayment is made by the committee. The date of the repayment is the date the check is issued. Full or partial loan repayments shall be shown on this schedule and should not be reported on Schedule B. However, loan interest payments shall be reported on Schedule B (see rule </w:t>
      </w:r>
      <w:hyperlink r:id="rId79">
        <w:r>
          <w:rPr>
            <w:rStyle w:val="Hyperlink"/>
            <w:rFonts w:ascii="Times New Roman" w:hAnsi="Times New Roman"/>
            <w:b w:val="false"/>
            <w:i w:val="false"/>
            <w:color w:val="000000"/>
            <w:sz w:val="22"/>
          </w:rPr>
          <w:t>351—4.15</w:t>
        </w:r>
      </w:hyperlink>
      <w:r>
        <w:rPr>
          <w:rFonts w:ascii="Times New Roman" w:hAnsi="Times New Roman"/>
          <w:b w:val="false"/>
          <w:i w:val="false"/>
          <w:color w:val="000000"/>
          <w:sz w:val="22"/>
        </w:rPr>
        <w:t>(68A,68B)) and not on Schedule F. Loans which may be and are forgiven in full or in part are considered in-kind contributions and shall be itemized on Schedule E, with a cross-reference entry in the space provided on Schedule 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4.18(5)</w:t>
      </w:r>
      <w:r>
        <w:rPr>
          <w:rFonts w:ascii="Times New Roman" w:hAnsi="Times New Roman"/>
          <w:b w:val="false"/>
          <w:i w:val="false"/>
          <w:color w:val="000000"/>
          <w:sz w:val="22"/>
        </w:rPr>
        <w:t> </w:t>
      </w:r>
      <w:r>
        <w:rPr>
          <w:rFonts w:ascii="Times New Roman" w:hAnsi="Times New Roman"/>
          <w:b w:val="false"/>
          <w:i/>
          <w:color w:val="000000"/>
          <w:sz w:val="22"/>
        </w:rPr>
        <w:t xml:space="preserve">Name and address of lender. </w:t>
      </w:r>
      <w:r>
        <w:rPr>
          <w:rFonts w:ascii="Times New Roman" w:hAnsi="Times New Roman"/>
          <w:b w:val="false"/>
          <w:i w:val="false"/>
          <w:color w:val="000000"/>
          <w:sz w:val="22"/>
        </w:rPr>
        <w:t>The schedule shall include the name and address of each person who has made one or more loans of money to the committee during the reporting period, or to whom the committee makes a full or partial loan repayment during the reporting period. If the person who made the loan to the committee is not the original source of the money, when the original source of the money is a third party (such as a bank which loans money to an individual who loans it to the committee) or if a third party has personally paid and assumed a loan from the original lender (such as an individual who pays off the loan to the bank with the expectation of receiving the loan repayment from the committee), the report shall also identify the name and address of the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4.18(6)</w:t>
      </w:r>
      <w:r>
        <w:rPr>
          <w:rFonts w:ascii="Times New Roman" w:hAnsi="Times New Roman"/>
          <w:b w:val="false"/>
          <w:i w:val="false"/>
          <w:color w:val="000000"/>
          <w:sz w:val="22"/>
        </w:rPr>
        <w:t> </w:t>
      </w:r>
      <w:r>
        <w:rPr>
          <w:rFonts w:ascii="Times New Roman" w:hAnsi="Times New Roman"/>
          <w:b w:val="false"/>
          <w:i/>
          <w:color w:val="000000"/>
          <w:sz w:val="22"/>
        </w:rPr>
        <w:t xml:space="preserve">Relationship to candidate. </w:t>
      </w:r>
      <w:r>
        <w:rPr>
          <w:rFonts w:ascii="Times New Roman" w:hAnsi="Times New Roman"/>
          <w:b w:val="false"/>
          <w:i w:val="false"/>
          <w:color w:val="000000"/>
          <w:sz w:val="22"/>
        </w:rPr>
        <w:t xml:space="preserve">In the case of monetary loans to candidates’ committees, the schedule shall include information indicating whether the lender is related to the candidate within the third degree of consanguinity or affinity, as defined in subrule </w:t>
      </w:r>
      <w:hyperlink r:id="rId80">
        <w:r>
          <w:rPr>
            <w:rStyle w:val="Hyperlink"/>
            <w:rFonts w:ascii="Times New Roman" w:hAnsi="Times New Roman"/>
            <w:b w:val="false"/>
            <w:i w:val="false"/>
            <w:color w:val="000000"/>
            <w:sz w:val="22"/>
          </w:rPr>
          <w:t>4.14(5)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1">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351—4.19</w:t>
      </w:r>
      <w:r>
        <w:rPr>
          <w:rFonts w:ascii="Times New Roman" w:hAnsi="Times New Roman"/>
          <w:b/>
          <w:i w:val="false"/>
          <w:color w:val="000000"/>
          <w:sz w:val="22"/>
        </w:rPr>
        <w:t xml:space="preserve">(68A) </w:t>
      </w:r>
      <w:r>
        <w:rPr>
          <w:rFonts w:ascii="Times New Roman" w:hAnsi="Times New Roman"/>
          <w:b/>
          <w:i w:val="false"/>
          <w:color w:val="000000"/>
          <w:sz w:val="22"/>
        </w:rPr>
        <w:t xml:space="preserve">Schedule G - Breakdown of Monetary Expenditures by Consultants. </w:t>
      </w:r>
      <w:r>
        <w:rPr>
          <w:rFonts w:ascii="Times New Roman" w:hAnsi="Times New Roman"/>
          <w:b w:val="false"/>
          <w:i w:val="false"/>
          <w:color w:val="000000"/>
          <w:sz w:val="22"/>
        </w:rPr>
        <w:t xml:space="preserve">A committee that enters into a contract with a consultant for future or continuing performance shall be required to report expenditures made to the consultant and the nature of the performance of the consultant that is expected to be received by the committee. A committee is required to report in Part 1 of Schedule G any contracts with consultants that it has negotiated, the complete name and address of the consultant, the period of time during which the contract is in effect, and estimates of performance to be derived from the contract. Expenditures made to the consultant during a reporting period shall be reported with all other expenditures on Schedule B, and debts incurred with the consultant during the reporting period shall be reported with all other debts on Schedule D. Additionally, a detailed breakdown of the expenditures made by the consultant shall be reported by the committee in Part 2 of Schedule G and shall include the date of the expenditure, the purpose of the expenditure and the amount of the expenditure. The description of the purpose of the expenditure shall be consistent with the provisions of subrule </w:t>
      </w:r>
      <w:hyperlink r:id="rId82">
        <w:r>
          <w:rPr>
            <w:rStyle w:val="Hyperlink"/>
            <w:rFonts w:ascii="Times New Roman" w:hAnsi="Times New Roman"/>
            <w:b w:val="false"/>
            <w:i w:val="false"/>
            <w:color w:val="000000"/>
            <w:sz w:val="22"/>
          </w:rPr>
          <w:t>4.15(3)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For purposes of this rule, “contract” means an oral or written agreement between two parties for the supply or delivery of specific services in the course of the campaign. “Performance” means the execution or fulfillment of the contractual agreement. “Nature of performance” means a clear description of the specific services received or benefit derived as the result of a contract with a consultant. “Estimate of performance” means a clear description of the services the committee reasonably expects to receive or the benefit the committee reasonably expects to derive during the period of the contract.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3">
        <w:r>
          <w:rPr>
            <w:rStyle w:val="Hyperlink"/>
            <w:rFonts w:ascii="Times New Roman" w:hAnsi="Times New Roman"/>
            <w:b w:val="false"/>
            <w:i w:val="false"/>
            <w:color w:val="000000"/>
            <w:sz w:val="22"/>
          </w:rPr>
          <w:t>68A.102(9)</w:t>
        </w:r>
      </w:hyperlink>
      <w:r>
        <w:rPr>
          <w:rFonts w:ascii="Times New Roman" w:hAnsi="Times New Roman"/>
          <w:b w:val="false"/>
          <w:i w:val="false"/>
          <w:color w:val="000000"/>
          <w:sz w:val="22"/>
        </w:rPr>
        <w:t xml:space="preserve">  and </w:t>
      </w:r>
      <w:hyperlink r:id="rId84">
        <w:r>
          <w:rPr>
            <w:rStyle w:val="Hyperlink"/>
            <w:rFonts w:ascii="Times New Roman" w:hAnsi="Times New Roman"/>
            <w:b w:val="false"/>
            <w:i w:val="false"/>
            <w:color w:val="000000"/>
            <w:sz w:val="22"/>
          </w:rPr>
          <w:t>68A.402A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351—4.20</w:t>
      </w:r>
      <w:r>
        <w:rPr>
          <w:rFonts w:ascii="Times New Roman" w:hAnsi="Times New Roman"/>
          <w:b/>
          <w:i w:val="false"/>
          <w:color w:val="000000"/>
          <w:sz w:val="22"/>
        </w:rPr>
        <w:t xml:space="preserve">(68A,68B) </w:t>
      </w:r>
      <w:r>
        <w:rPr>
          <w:rFonts w:ascii="Times New Roman" w:hAnsi="Times New Roman"/>
          <w:b/>
          <w:i w:val="false"/>
          <w:color w:val="000000"/>
          <w:sz w:val="22"/>
        </w:rPr>
        <w:t xml:space="preserve">Schedule H - Campaign Property.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4.20(1)</w:t>
      </w:r>
      <w:r>
        <w:rPr>
          <w:rFonts w:ascii="Times New Roman" w:hAnsi="Times New Roman"/>
          <w:b w:val="false"/>
          <w:i w:val="false"/>
          <w:color w:val="000000"/>
          <w:sz w:val="22"/>
        </w:rPr>
        <w:t> </w:t>
      </w:r>
      <w:r>
        <w:rPr>
          <w:rFonts w:ascii="Times New Roman" w:hAnsi="Times New Roman"/>
          <w:b w:val="false"/>
          <w:i/>
          <w:color w:val="000000"/>
          <w:sz w:val="22"/>
        </w:rPr>
        <w:t xml:space="preserve">Ongoing inventory. </w:t>
      </w:r>
      <w:r>
        <w:rPr>
          <w:rFonts w:ascii="Times New Roman" w:hAnsi="Times New Roman"/>
          <w:b w:val="false"/>
          <w:i w:val="false"/>
          <w:color w:val="000000"/>
          <w:sz w:val="22"/>
        </w:rPr>
        <w:t>Equipment, supplies, or other materials purchased with campaign funds or received in kind are campaign property. Campaign property, other than consumable campaign property, with a value of $500 or more when acquired by the committee shall be listed on the inventory section of the schedule. The property shall be listed on each report until it is disposed of by the committee or its residual value falls below $100 and the property is listed once as having a residual value of less than $100. “Consumable campaign property” means stationery, yard signs, and other campaign materials that have been permanently imprinted to be specific to a candidate or election. For property purchased by the committee, the date purchased shall be the earlier of the date the committee attained physical possession of the property or the date the committee issued payment for the property. For in-kind contributions, the date received shall be the date on which the committee attained physical possession of the property. The committee shall provide the complete date (month/day/year). The schedules shall include the purchase price of property purchased by the committee and the actual or estimated fair market value of property received as an in-kind contribution, as well as the actual or estimated current fair market value of the property at the end of the current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4.20(2)</w:t>
      </w:r>
      <w:r>
        <w:rPr>
          <w:rFonts w:ascii="Times New Roman" w:hAnsi="Times New Roman"/>
          <w:b w:val="false"/>
          <w:i w:val="false"/>
          <w:color w:val="000000"/>
          <w:sz w:val="22"/>
        </w:rPr>
        <w:t> </w:t>
      </w:r>
      <w:r>
        <w:rPr>
          <w:rFonts w:ascii="Times New Roman" w:hAnsi="Times New Roman"/>
          <w:b w:val="false"/>
          <w:i/>
          <w:color w:val="000000"/>
          <w:sz w:val="22"/>
        </w:rPr>
        <w:t xml:space="preserve">Sales or transfers of campaign property. </w:t>
      </w:r>
      <w:r>
        <w:rPr>
          <w:rFonts w:ascii="Times New Roman" w:hAnsi="Times New Roman"/>
          <w:b w:val="false"/>
          <w:i w:val="false"/>
          <w:color w:val="000000"/>
          <w:sz w:val="22"/>
        </w:rPr>
        <w:t>The schedule shall include information regarding the sale or transfer of campaign property, other than consumable campaign property, which occurred during the current reporting period. The information shall include the complete date of the transaction (month/day/year), the name and address of the purchaser or donee, and a description of the property. If the property is sold, the information shall include the sales price received; if the property is donated, the information shall include the fair market value of the property at the time of the transfer.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5">
        <w:r>
          <w:rPr>
            <w:rStyle w:val="Hyperlink"/>
            <w:rFonts w:ascii="Times New Roman" w:hAnsi="Times New Roman"/>
            <w:b w:val="false"/>
            <w:i w:val="false"/>
            <w:color w:val="000000"/>
            <w:sz w:val="22"/>
          </w:rPr>
          <w:t>68A.304</w:t>
        </w:r>
      </w:hyperlink>
      <w:r>
        <w:rPr>
          <w:rFonts w:ascii="Times New Roman" w:hAnsi="Times New Roman"/>
          <w:b w:val="false"/>
          <w:i w:val="false"/>
          <w:color w:val="000000"/>
          <w:sz w:val="22"/>
        </w:rPr>
        <w:t xml:space="preserve"> and </w:t>
      </w:r>
      <w:hyperlink r:id="rId86">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351—4.21</w:t>
      </w:r>
      <w:r>
        <w:rPr>
          <w:rFonts w:ascii="Times New Roman" w:hAnsi="Times New Roman"/>
          <w:b/>
          <w:i w:val="false"/>
          <w:color w:val="000000"/>
          <w:sz w:val="22"/>
        </w:rPr>
        <w:t xml:space="preserve">(68A) </w:t>
      </w:r>
      <w:r>
        <w:rPr>
          <w:rFonts w:ascii="Times New Roman" w:hAnsi="Times New Roman"/>
          <w:b/>
          <w:i w:val="false"/>
          <w:color w:val="000000"/>
          <w:sz w:val="22"/>
        </w:rPr>
        <w:t xml:space="preserve">Filing of reconciled bank statement. </w:t>
      </w:r>
      <w:r>
        <w:rPr>
          <w:rFonts w:ascii="Times New Roman" w:hAnsi="Times New Roman"/>
          <w:b w:val="false"/>
          <w:i w:val="false"/>
          <w:color w:val="000000"/>
          <w:sz w:val="22"/>
        </w:rPr>
        <w:t xml:space="preserve">A candidate, a committee, an independent expenditure committee, or a sole individual filing Form Ind-Exp-I shall submit a copy of a campaign bank statement including a reconciliation to justify outstanding checks and other discrepancies between the ending balance on the bank statement and the ending balance on a campaign statement or report when requested to do so by the board. A committee that files a final campaign statement or report for purposes of dissolving shall comply with the requirements of subrule </w:t>
      </w:r>
      <w:hyperlink r:id="rId87">
        <w:r>
          <w:rPr>
            <w:rStyle w:val="Hyperlink"/>
            <w:rFonts w:ascii="Times New Roman" w:hAnsi="Times New Roman"/>
            <w:b w:val="false"/>
            <w:i w:val="false"/>
            <w:color w:val="000000"/>
            <w:sz w:val="22"/>
          </w:rPr>
          <w:t>4.55(5)</w:t>
        </w:r>
      </w:hyperlink>
      <w:r>
        <w:rPr>
          <w:rFonts w:ascii="Times New Roman" w:hAnsi="Times New Roman"/>
          <w:b w:val="false"/>
          <w:i w:val="false"/>
          <w:color w:val="000000"/>
          <w:sz w:val="22"/>
        </w:rPr>
        <w:t xml:space="preserve"> concerning the filing of a final bank statement. The board may impose sanctions as provided in Iowa Code chapter </w:t>
      </w:r>
      <w:hyperlink r:id="rId88">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and rule </w:t>
      </w:r>
      <w:hyperlink r:id="rId89">
        <w:r>
          <w:rPr>
            <w:rStyle w:val="Hyperlink"/>
            <w:rFonts w:ascii="Times New Roman" w:hAnsi="Times New Roman"/>
            <w:b w:val="false"/>
            <w:i w:val="false"/>
            <w:color w:val="000000"/>
            <w:sz w:val="22"/>
          </w:rPr>
          <w:t>351—9.4</w:t>
        </w:r>
      </w:hyperlink>
      <w:r>
        <w:rPr>
          <w:rFonts w:ascii="Times New Roman" w:hAnsi="Times New Roman"/>
          <w:b w:val="false"/>
          <w:i w:val="false"/>
          <w:color w:val="000000"/>
          <w:sz w:val="22"/>
        </w:rPr>
        <w:t>(68B) against a person for failing to file a requested reconciled bank statement.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0">
        <w:r>
          <w:rPr>
            <w:rStyle w:val="Hyperlink"/>
            <w:rFonts w:ascii="Times New Roman" w:hAnsi="Times New Roman"/>
            <w:b w:val="false"/>
            <w:i w:val="false"/>
            <w:color w:val="000000"/>
            <w:sz w:val="22"/>
          </w:rPr>
          <w:t>68A.402A</w:t>
        </w:r>
      </w:hyperlink>
      <w:r>
        <w:rPr>
          <w:rFonts w:ascii="Times New Roman" w:hAnsi="Times New Roman"/>
          <w:b w:val="false"/>
          <w:i w:val="false"/>
          <w:color w:val="000000"/>
          <w:sz w:val="22"/>
        </w:rPr>
        <w:t xml:space="preserve"> and </w:t>
      </w:r>
      <w:hyperlink r:id="rId91">
        <w:r>
          <w:rPr>
            <w:rStyle w:val="Hyperlink"/>
            <w:rFonts w:ascii="Times New Roman" w:hAnsi="Times New Roman"/>
            <w:b w:val="false"/>
            <w:i w:val="false"/>
            <w:color w:val="000000"/>
            <w:sz w:val="22"/>
          </w:rPr>
          <w:t>68B.32A(4)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8826B</w:t>
      </w:r>
      <w:r>
        <w:rPr>
          <w:rFonts w:ascii="Times New Roman" w:hAnsi="Times New Roman"/>
          <w:b w:val="false"/>
          <w:i w:val="false"/>
          <w:color w:val="000000"/>
          <w:sz w:val="16"/>
        </w:rPr>
        <w:t>, IAB 6/2/10, effective 5/17/10</w:t>
      </w:r>
      <w:r>
        <w:rPr>
          <w:rFonts w:ascii="Times New Roman" w:hAnsi="Times New Roman"/>
          <w:b w:val="false"/>
          <w:i w:val="false"/>
          <w:color w:val="000000"/>
          <w:sz w:val="16"/>
        </w:rPr>
        <w:t xml:space="preserve">; </w:t>
      </w:r>
      <w:r>
        <w:rPr>
          <w:rFonts w:ascii="Times New Roman" w:hAnsi="Times New Roman"/>
          <w:b/>
          <w:i w:val="false"/>
          <w:color w:val="000000"/>
          <w:sz w:val="16"/>
        </w:rPr>
        <w:t>ARC 9216B</w:t>
      </w:r>
      <w:r>
        <w:rPr>
          <w:rFonts w:ascii="Times New Roman" w:hAnsi="Times New Roman"/>
          <w:b w:val="false"/>
          <w:i w:val="false"/>
          <w:color w:val="000000"/>
          <w:sz w:val="16"/>
        </w:rPr>
        <w:t>, IAB 11/3/10, effective 12/8/10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351—4.22</w:t>
      </w:r>
      <w:r>
        <w:rPr>
          <w:rFonts w:ascii="Times New Roman" w:hAnsi="Times New Roman"/>
          <w:b/>
          <w:i w:val="false"/>
          <w:color w:val="000000"/>
          <w:sz w:val="22"/>
        </w:rPr>
        <w:t xml:space="preserve">(68A,68B) </w:t>
      </w:r>
      <w:r>
        <w:rPr>
          <w:rFonts w:ascii="Times New Roman" w:hAnsi="Times New Roman"/>
          <w:b/>
          <w:i w:val="false"/>
          <w:color w:val="000000"/>
          <w:sz w:val="22"/>
        </w:rPr>
        <w:t xml:space="preserve">Verification of reports; incomplete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4.22(1)</w:t>
      </w:r>
      <w:r>
        <w:rPr>
          <w:rFonts w:ascii="Times New Roman" w:hAnsi="Times New Roman"/>
          <w:b w:val="false"/>
          <w:i w:val="false"/>
          <w:color w:val="000000"/>
          <w:sz w:val="22"/>
        </w:rPr>
        <w:t> </w:t>
      </w:r>
      <w:r>
        <w:rPr>
          <w:rFonts w:ascii="Times New Roman" w:hAnsi="Times New Roman"/>
          <w:b w:val="false"/>
          <w:i w:val="false"/>
          <w:color w:val="000000"/>
          <w:sz w:val="22"/>
        </w:rPr>
        <w:t>The board staff will review and desk audit each disclosure report. The board may contact other parties to verify the accuracy and completeness of the reports. The board may contact a representative of the committee and may contact other parties to determine the authenticity of information provided about filed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4.22(2)</w:t>
      </w:r>
      <w:r>
        <w:rPr>
          <w:rFonts w:ascii="Times New Roman" w:hAnsi="Times New Roman"/>
          <w:b w:val="false"/>
          <w:i w:val="false"/>
          <w:color w:val="000000"/>
          <w:sz w:val="22"/>
        </w:rPr>
        <w:t> </w:t>
      </w:r>
      <w:r>
        <w:rPr>
          <w:rFonts w:ascii="Times New Roman" w:hAnsi="Times New Roman"/>
          <w:b w:val="false"/>
          <w:i w:val="false"/>
          <w:color w:val="000000"/>
          <w:sz w:val="22"/>
        </w:rPr>
        <w:t xml:space="preserve">If, upon review, board staff determine that a committee’s report is incomplete because required information has been omitted or has been incorrectly reported, the staff shall communicate the deficiencies to the committee. A failure to satisfactorily respond to or to remedy the error or omission may be grounds for a violation of Iowa Code section </w:t>
      </w:r>
      <w:hyperlink r:id="rId92">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 xml:space="preserve"> as a failure to file a report which conforms to the requirements of that provision.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3">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 xml:space="preserve"> and </w:t>
      </w:r>
      <w:hyperlink r:id="rId94">
        <w:r>
          <w:rPr>
            <w:rStyle w:val="Hyperlink"/>
            <w:rFonts w:ascii="Times New Roman" w:hAnsi="Times New Roman"/>
            <w:b w:val="false"/>
            <w:i w:val="false"/>
            <w:color w:val="000000"/>
            <w:sz w:val="22"/>
          </w:rPr>
          <w:t>68B.32A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351—4.23</w:t>
      </w:r>
      <w:r>
        <w:rPr>
          <w:rFonts w:ascii="Times New Roman" w:hAnsi="Times New Roman"/>
          <w:b/>
          <w:i w:val="false"/>
          <w:color w:val="000000"/>
          <w:sz w:val="22"/>
        </w:rPr>
        <w:t xml:space="preserve">(68A,68B) </w:t>
      </w:r>
      <w:r>
        <w:rPr>
          <w:rFonts w:ascii="Times New Roman" w:hAnsi="Times New Roman"/>
          <w:b/>
          <w:i w:val="false"/>
          <w:color w:val="000000"/>
          <w:sz w:val="22"/>
        </w:rPr>
        <w:t xml:space="preserve">Amendment—statements, disclosure reports and notices. </w:t>
      </w:r>
      <w:r>
        <w:rPr>
          <w:rFonts w:ascii="Times New Roman" w:hAnsi="Times New Roman"/>
          <w:b w:val="false"/>
          <w:i w:val="false"/>
          <w:color w:val="000000"/>
          <w:sz w:val="22"/>
        </w:rPr>
        <w:t>A committee may amend a previously filed statement of organization, disclosure report or notice of dissolution. To amend a previously filed statement, report or notice, the committee shall file an amended document on the approved form and shall designate on the form in the space provided, if applicable, that the document being filed is an amendment to a previously filed statement, report or notice. The term “amended document” as used in this rule shall mean a document on forms issued by the board which includes only the information which is being added, deleted or changed from a previously filed statement of organization or notice of dissolution.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5">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351—4.24</w:t>
      </w:r>
      <w:r>
        <w:rPr>
          <w:rFonts w:ascii="Times New Roman" w:hAnsi="Times New Roman"/>
          <w:b/>
          <w:i w:val="false"/>
          <w:color w:val="000000"/>
          <w:sz w:val="22"/>
        </w:rPr>
        <w:t xml:space="preserve">(68A) </w:t>
      </w:r>
      <w:r>
        <w:rPr>
          <w:rFonts w:ascii="Times New Roman" w:hAnsi="Times New Roman"/>
          <w:b/>
          <w:i w:val="false"/>
          <w:color w:val="000000"/>
          <w:sz w:val="22"/>
        </w:rPr>
        <w:t xml:space="preserve">Reporting of state party building fund transactions. </w:t>
      </w:r>
      <w:r>
        <w:rPr>
          <w:rFonts w:ascii="Times New Roman" w:hAnsi="Times New Roman"/>
          <w:b w:val="false"/>
          <w:i w:val="false"/>
          <w:color w:val="000000"/>
          <w:sz w:val="22"/>
        </w:rPr>
        <w:t>Pursuant to Federal Election Commission Advisory Opinion 2004-28, the board will permit a state statutory political committee (state party committee) to receive contributions from corporations, insurance companies, and financial institutions when those contributions are placed in the state party building fund account, the contributions are used to pay for costs associated with the building, and all transactions involving the fund are disclosed pursuant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4.24(1)</w:t>
      </w:r>
      <w:r>
        <w:rPr>
          <w:rFonts w:ascii="Times New Roman" w:hAnsi="Times New Roman"/>
          <w:b w:val="false"/>
          <w:i w:val="false"/>
          <w:color w:val="000000"/>
          <w:sz w:val="22"/>
        </w:rPr>
        <w:t> </w:t>
      </w:r>
      <w:r>
        <w:rPr>
          <w:rFonts w:ascii="Times New Roman" w:hAnsi="Times New Roman"/>
          <w:b w:val="false"/>
          <w:i/>
          <w:color w:val="000000"/>
          <w:sz w:val="22"/>
        </w:rPr>
        <w:t xml:space="preserve">Period covered. </w:t>
      </w:r>
      <w:r>
        <w:rPr>
          <w:rFonts w:ascii="Times New Roman" w:hAnsi="Times New Roman"/>
          <w:b w:val="false"/>
          <w:i w:val="false"/>
          <w:color w:val="000000"/>
          <w:sz w:val="22"/>
        </w:rPr>
        <w:t>A state party building fund report shall cover the time period from January 1 through December 31 of the previous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4.24(2)</w:t>
      </w:r>
      <w:r>
        <w:rPr>
          <w:rFonts w:ascii="Times New Roman" w:hAnsi="Times New Roman"/>
          <w:b w:val="false"/>
          <w:i w:val="false"/>
          <w:color w:val="000000"/>
          <w:sz w:val="22"/>
        </w:rPr>
        <w:t> </w:t>
      </w:r>
      <w:r>
        <w:rPr>
          <w:rFonts w:ascii="Times New Roman" w:hAnsi="Times New Roman"/>
          <w:b w:val="false"/>
          <w:i/>
          <w:color w:val="000000"/>
          <w:sz w:val="22"/>
        </w:rPr>
        <w:t xml:space="preserve">Information to be disclosed. </w:t>
      </w:r>
      <w:r>
        <w:rPr>
          <w:rFonts w:ascii="Times New Roman" w:hAnsi="Times New Roman"/>
          <w:b w:val="false"/>
          <w:i w:val="false"/>
          <w:color w:val="000000"/>
          <w:sz w:val="22"/>
        </w:rPr>
        <w:t>The following information shall be disclosed on a state party building fund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state party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each person who makes a contribution in excess of $200, or contributions in the aggregate that exceed $200 during the period covered, to the state party building fund. If no contributions were received for the fund, the report shall disclose $0.00 as contributions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and the amount of the contribution. If aggregate contributions from one person are received that exceed $200, the amount to be disclosed shall be the total amount received from that person for the period covered and the date to be disclosed shall be the date of the last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total amount of all contributions of $200 or less received during the period covered. This total amount shall be disclosed as being received from “unitemized” with the date of the contribution being the last day of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and mailing address of each person to whom an expenditure that exceeds $200 is made, or expenditures in the aggregate that exceed $200 during the period covered, from the state party building fund. If no expenditures were made from the fund, the report shall disclose $0.00 as expenditures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and the amount of the expenditure. If aggregate expenditures that exceed $200 are made to one person, the amount to be disclosed shall be the total amount made to that person for the period covered and the date to be disclosed shall be the date of the last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total amount of all expenditures of $200 or less made during the period covered. This total amount shall be disclosed as being expended to “unitemized” with the date of the expenditure being the last day of the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signature and date of the individual filing the state party building fund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4.24(3)</w:t>
      </w:r>
      <w:r>
        <w:rPr>
          <w:rFonts w:ascii="Times New Roman" w:hAnsi="Times New Roman"/>
          <w:b w:val="false"/>
          <w:i w:val="false"/>
          <w:color w:val="000000"/>
          <w:sz w:val="22"/>
        </w:rPr>
        <w:t> </w:t>
      </w:r>
      <w:r>
        <w:rPr>
          <w:rFonts w:ascii="Times New Roman" w:hAnsi="Times New Roman"/>
          <w:b w:val="false"/>
          <w:i/>
          <w:color w:val="000000"/>
          <w:sz w:val="22"/>
        </w:rPr>
        <w:t xml:space="preserve">Place of filing. </w:t>
      </w:r>
      <w:r>
        <w:rPr>
          <w:rFonts w:ascii="Times New Roman" w:hAnsi="Times New Roman"/>
          <w:b w:val="false"/>
          <w:i w:val="false"/>
          <w:color w:val="000000"/>
          <w:sz w:val="22"/>
        </w:rPr>
        <w:t>A state party building fund report shall be filed with the board at 510 East 12th Street, Suite 1A, Des Moines, Iowa 50319; by fax at (515)281-4073; or as an email attachment.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4.24(4)</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A state party building fund report shall be filed on or before January 31 of each year. If mailed, the report must bear a United States Postal Service postmark dated on or before the due date. A faxed or emailed report must be submitted on or before 11:59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due date. If January 31 falls on a Saturday, Sunday, or holiday on which the board office is closed, the due date shall be extended to the next working day when the board office is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4.24(5)</w:t>
      </w:r>
      <w:r>
        <w:rPr>
          <w:rFonts w:ascii="Times New Roman" w:hAnsi="Times New Roman"/>
          <w:b w:val="false"/>
          <w:i w:val="false"/>
          <w:color w:val="000000"/>
          <w:sz w:val="22"/>
        </w:rPr>
        <w:t> </w:t>
      </w:r>
      <w:r>
        <w:rPr>
          <w:rFonts w:ascii="Times New Roman" w:hAnsi="Times New Roman"/>
          <w:b w:val="false"/>
          <w:i/>
          <w:color w:val="000000"/>
          <w:sz w:val="22"/>
        </w:rPr>
        <w:t xml:space="preserve">Failure to file. </w:t>
      </w:r>
      <w:r>
        <w:rPr>
          <w:rFonts w:ascii="Times New Roman" w:hAnsi="Times New Roman"/>
          <w:b w:val="false"/>
          <w:i w:val="false"/>
          <w:color w:val="000000"/>
          <w:sz w:val="22"/>
        </w:rPr>
        <w:t>If the board determines that a state party committee has failed to timely file a state party building fund report, the state party committee is subject to the possible imposition of board sanctions.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6">
        <w:r>
          <w:rPr>
            <w:rStyle w:val="Hyperlink"/>
            <w:rFonts w:ascii="Times New Roman" w:hAnsi="Times New Roman"/>
            <w:b w:val="false"/>
            <w:i w:val="false"/>
            <w:color w:val="000000"/>
            <w:sz w:val="22"/>
          </w:rPr>
          <w:t>68A.402A(1)</w:t>
        </w:r>
        <w:r>
          <w:rPr>
            <w:rFonts w:ascii="Times New Roman" w:hAnsi="Times New Roman"/>
            <w:b w:val="false"/>
            <w:i/>
            <w:color w:val="000000"/>
            <w:sz w:val="22"/>
          </w:rPr>
          <w:t>“k”</w:t>
        </w:r>
      </w:hyperlink>
      <w:r>
        <w:rPr>
          <w:rFonts w:ascii="Times New Roman" w:hAnsi="Times New Roman"/>
          <w:b w:val="false"/>
          <w:i w:val="false"/>
          <w:color w:val="000000"/>
          <w:sz w:val="22"/>
        </w:rPr>
        <w:t xml:space="preserve"> and </w:t>
      </w:r>
      <w:hyperlink r:id="rId97">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351—4.25</w:t>
      </w:r>
      <w:r>
        <w:rPr>
          <w:rFonts w:ascii="Times New Roman" w:hAnsi="Times New Roman"/>
          <w:b/>
          <w:i w:val="false"/>
          <w:color w:val="000000"/>
          <w:sz w:val="22"/>
        </w:rPr>
        <w:t xml:space="preserve">(68A,68B) </w:t>
      </w:r>
      <w:r>
        <w:rPr>
          <w:rFonts w:ascii="Times New Roman" w:hAnsi="Times New Roman"/>
          <w:b/>
          <w:i w:val="false"/>
          <w:color w:val="000000"/>
          <w:sz w:val="22"/>
        </w:rPr>
        <w:t xml:space="preserve">Legitimate expenditures of campaign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4.25(1)</w:t>
      </w:r>
      <w:r>
        <w:rPr>
          <w:rFonts w:ascii="Times New Roman" w:hAnsi="Times New Roman"/>
          <w:b w:val="false"/>
          <w:i w:val="false"/>
          <w:color w:val="000000"/>
          <w:sz w:val="22"/>
        </w:rPr>
        <w:t> </w:t>
      </w:r>
      <w:r>
        <w:rPr>
          <w:rFonts w:ascii="Times New Roman" w:hAnsi="Times New Roman"/>
          <w:b w:val="false"/>
          <w:i w:val="false"/>
          <w:color w:val="000000"/>
          <w:sz w:val="22"/>
        </w:rPr>
        <w:t>Expenses which may be paid from campaign funds for campaign purposes include, but are not limited to, the following items so long as the items promote or enhance the candidacy of the candidate: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Electronic media advertising, such as radio, cable television and commercial television.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Published advertising, such as newspaper, magazine, newsletter and shopper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Printed promotional materials, such as brochures, leaflets, flyers, invitations, stationery, envelopes, reply cards, return envelopes, campaign business cards, direct mailings, postcards and “cowboy” political cards.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Political signs, such as yard signs, car signs, portable outdoor advertising, stationary outdoor advertising and billboards.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Political advertising specialty items, such as campaign buttons, campaign stickers, bumper stickers, campaign pins, pencils, pens, matchbooks, balloons, scratch pads, calendars, magnets, key chains, and articles of clothing that are political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Travel and lodging expenses of the campaign workers for campaign purposes and political party activities. Travel and lodging expenses for a candidate to attend a national political party convention are also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Contributions to political party committees.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purchase of tickets to a meal for the candidate and one guest so long as the attendance at the meal by the candidate and guest is for the sole purpose of enhancing the candidacy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General campaign expenditures, such as printing, copy machine charges, office supplies, campaign photographs, gambling permits, fund-raiser prizes, postage stamps, postage meter costs, bulk mail permits, telephone installation and service, facsimile charges, and computer services. However, the purchase or rental of formal wear to attend a political event is not a permissible general campaign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Purchase or lease of campaign equipment, such as copy machines, telephones, facsimile machines, computer hardware, software and printers.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Purchase or lease of campaign office space, parking lots or storage space and the payment for campaign office utilities and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salaries, fringe benefits, bonuses, and payroll taxes of paid campaign staff. As provided in Iowa Code section </w:t>
      </w:r>
      <w:hyperlink r:id="rId98">
        <w:r>
          <w:rPr>
            <w:rStyle w:val="Hyperlink"/>
            <w:rFonts w:ascii="Times New Roman" w:hAnsi="Times New Roman"/>
            <w:b w:val="false"/>
            <w:i w:val="false"/>
            <w:color w:val="000000"/>
            <w:sz w:val="22"/>
          </w:rPr>
          <w:t>68A.302(2)</w:t>
        </w:r>
      </w:hyperlink>
      <w:r>
        <w:rPr>
          <w:rFonts w:ascii="Times New Roman" w:hAnsi="Times New Roman"/>
          <w:b w:val="false"/>
          <w:i/>
          <w:color w:val="000000"/>
          <w:sz w:val="22"/>
        </w:rPr>
        <w:t>“k,”</w:t>
      </w:r>
      <w:r>
        <w:rPr>
          <w:rFonts w:ascii="Times New Roman" w:hAnsi="Times New Roman"/>
          <w:b w:val="false"/>
          <w:i w:val="false"/>
          <w:color w:val="000000"/>
          <w:sz w:val="22"/>
        </w:rPr>
        <w:t xml:space="preserve"> family members who perform actual work or services for a campaign and are not the candidate, candidate’s spouse, or candidate’s dependent children may be compensated for such work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Payment for check printing and financial institution banking service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Lease or rental of a campaign vehicle, provided that a detailed trip log which provides dates, miles driven, destination and purpose is maintained, and that noncampaign miles are reimbursed to the committee at an amount not to exceed the current rate of reimbursement allowed under the standard mileage rate for computations of business expenses pursuant to the Internal Revenue Code. However, the purchase of a campaign vehicle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Reimbursement to candidates and campaign workers for mileage driven for campaign purposes in a personal vehicle, provided that a detailed trip log which provides dates, miles driven, destination and purpose is maintained, and that reimbursement is paid at an amount not to exceed the current rate of reimbursement allowed under the standard mileage rate for computations of business expenses pursuant to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food expenses and supplies for campaign-related activities, such as the purchase of food, beverages and table service for fund-raising events or campaign volunteers. However, except as provided in paragraph </w:t>
      </w:r>
      <w:r>
        <w:rPr>
          <w:rFonts w:ascii="Times New Roman" w:hAnsi="Times New Roman"/>
          <w:b w:val="false"/>
          <w:i/>
          <w:color w:val="000000"/>
          <w:sz w:val="22"/>
        </w:rPr>
        <w:t>“h,”</w:t>
      </w:r>
      <w:r>
        <w:rPr>
          <w:rFonts w:ascii="Times New Roman" w:hAnsi="Times New Roman"/>
          <w:b w:val="false"/>
          <w:i w:val="false"/>
          <w:color w:val="000000"/>
          <w:sz w:val="22"/>
        </w:rPr>
        <w:t xml:space="preserve"> the purchase of tickets for meals or fund-raising events for other candidates is prohibited, and the purchase of groceries for the candidate or candidate’s family is also prohibited. Payment for meals for the candidate (other than those involving tickets for fund-raiser events as addressed in paragraph </w:t>
      </w:r>
      <w:r>
        <w:rPr>
          <w:rFonts w:ascii="Times New Roman" w:hAnsi="Times New Roman"/>
          <w:b w:val="false"/>
          <w:i/>
          <w:color w:val="000000"/>
          <w:sz w:val="22"/>
        </w:rPr>
        <w:t>“h”</w:t>
      </w:r>
      <w:r>
        <w:rPr>
          <w:rFonts w:ascii="Times New Roman" w:hAnsi="Times New Roman"/>
          <w:b w:val="false"/>
          <w:i w:val="false"/>
          <w:color w:val="000000"/>
          <w:sz w:val="22"/>
        </w:rPr>
        <w:t>) is permitted as an allowable expenditure for campaign purposes if the meal was associated with campaign-related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Payment of civil penalties and hearing costs assessed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Payment for the services of attorneys, accountants, consultants or other professional persons when those services relate to campaign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Subscriptions to newspapers and periodicals that circulate within the area represented by the office that a candidate is seeking or holds, that contain information of a general nature about the state of Iowa, or that contain information useful to all candidates such as The Wall Street Journal and Roll Call. Candidates who are unsure whether a subscription is permissible shall seek guidance from the board prior to paying for the subscription with campaign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Membership in service organizations including a local chamber of commerce that the candidate joins solely for the purpose of enhancing the candidate’s candidacy.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Repayment of campaign loans made to the committee. Candidates who make loans to their own committees shall not charge interest on the loans.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Purchase of reports of other candidates and political committees so long as the reports’ contents are not used for solicitation or commercial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Donations to charitable organizations unless the candidate or the candidate’s spouse, child, stepchild, brother, brother-in-law, stepbrother, sister, sister-in-law, stepsister, parent, parent-in-law, or stepparent is employed by the charitable organization and will receive a direct financial benefit from a donation.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Contributions to federal, state, county and city political party committees.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Refunds to contributors when a contribution has been accepted in error, or when a committee chooses to dispose of leftover funds by refunding them in prorated shares to the original contributors.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Payment for items with a purchase price not to exceed $250 per person that are presented to committee workers in recognition of services to the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 xml:space="preserve">Expenses incurred with respect to an election recount as provided in Iowa Code section </w:t>
      </w:r>
      <w:hyperlink r:id="rId99">
        <w:r>
          <w:rPr>
            <w:rStyle w:val="Hyperlink"/>
            <w:rFonts w:ascii="Times New Roman" w:hAnsi="Times New Roman"/>
            <w:b w:val="false"/>
            <w:i w:val="false"/>
            <w:color w:val="000000"/>
            <w:sz w:val="22"/>
          </w:rPr>
          <w:t>50.48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val="false"/>
          <w:color w:val="000000"/>
          <w:sz w:val="22"/>
        </w:rPr>
        <w:t>The sharing of information in any format such as computer databases containing yard sign locations or lists of registered voters with another candidate’s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4.25(2)</w:t>
      </w:r>
      <w:r>
        <w:rPr>
          <w:rFonts w:ascii="Times New Roman" w:hAnsi="Times New Roman"/>
          <w:b w:val="false"/>
          <w:i w:val="false"/>
          <w:color w:val="000000"/>
          <w:sz w:val="22"/>
        </w:rPr>
        <w:t> </w:t>
      </w:r>
      <w:r>
        <w:rPr>
          <w:rFonts w:ascii="Times New Roman" w:hAnsi="Times New Roman"/>
          <w:b w:val="false"/>
          <w:i w:val="false"/>
          <w:color w:val="000000"/>
          <w:sz w:val="22"/>
        </w:rPr>
        <w:t>Expenses which may be paid from campaign funds for educational and other expenses associated with the duties of office include, but are not limited to,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Purchase or lease of office supplies and equipment, such as paper, copy machines, telephones, facsimile machines, computer hardware, software and printers.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Travel, lodging and registration expenses associated with attendance at an educational conference of a state, national, or regional organization whose memberships and officers are primarily composed of state or local government officials or employees. However, meal expenses are not allowable as expenses associated with the duties of office under any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Meals and other expenses incurred in connection with attending a local meeting to which the officeholder is invited and attends due to the officeholder’s official position as an elected official.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Purchases of small, incidental items such as pencils, pens, rulers and bookmarks provided to members of the public touring the offices of the state or a political subdivision. However, such items distributed on public property shall not expressly advocate the election or defeat of a candidate or the adoption or defeat of a ballot issue as prohibited in Iowa Code section </w:t>
      </w:r>
      <w:hyperlink r:id="rId100">
        <w:r>
          <w:rPr>
            <w:rStyle w:val="Hyperlink"/>
            <w:rFonts w:ascii="Times New Roman" w:hAnsi="Times New Roman"/>
            <w:b w:val="false"/>
            <w:i w:val="false"/>
            <w:color w:val="000000"/>
            <w:sz w:val="22"/>
          </w:rPr>
          <w:t>68A.505</w:t>
        </w:r>
      </w:hyperlink>
      <w:r>
        <w:rPr>
          <w:rFonts w:ascii="Times New Roman" w:hAnsi="Times New Roman"/>
          <w:b w:val="false"/>
          <w:i w:val="false"/>
          <w:color w:val="000000"/>
          <w:sz w:val="22"/>
        </w:rPr>
        <w:t>. For example, a bookmark bearing the state seal could be distributed on public property, while a bookmark that identified the donor as a candidate for office could not be distributed on public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Gifts purchased for foreign dignitaries when the officeholder is part of an official trip out of the country such as a trade mission or exchange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Printing of additional stationery and supplies above the standard allotment of the state or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4.25(3)</w:t>
      </w:r>
      <w:r>
        <w:rPr>
          <w:rFonts w:ascii="Times New Roman" w:hAnsi="Times New Roman"/>
          <w:b w:val="false"/>
          <w:i w:val="false"/>
          <w:color w:val="000000"/>
          <w:sz w:val="22"/>
        </w:rPr>
        <w:t> </w:t>
      </w:r>
      <w:r>
        <w:rPr>
          <w:rFonts w:ascii="Times New Roman" w:hAnsi="Times New Roman"/>
          <w:b w:val="false"/>
          <w:i w:val="false"/>
          <w:color w:val="000000"/>
          <w:sz w:val="22"/>
        </w:rPr>
        <w:t>Expenses which may be paid from campaign funds for constituency services include, but are not limited to,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Mailings and newsletters sent to constituents.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Polls and surveys conducted to determine constituent opinions.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Travel expenses incurred in communicating with members of an elected official’s constituency, provided that a detailed trip log which provides dates, miles driven, destination and purpose is maintained, and that reimbursement is paid at an amount not to exceed the current rate of reimbursement allowed under the standard mileage rate for computations of business expenses pursuant to the Internal Revenue Code. However, meal expenses are not allowable as expenses associated with constituency services under any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Holiday and other greeting cards sent to constituents.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1">
        <w:r>
          <w:rPr>
            <w:rStyle w:val="Hyperlink"/>
            <w:rFonts w:ascii="Times New Roman" w:hAnsi="Times New Roman"/>
            <w:b w:val="false"/>
            <w:i w:val="false"/>
            <w:color w:val="000000"/>
            <w:sz w:val="22"/>
          </w:rPr>
          <w:t>68A.301</w:t>
        </w:r>
      </w:hyperlink>
      <w:r>
        <w:rPr>
          <w:rFonts w:ascii="Times New Roman" w:hAnsi="Times New Roman"/>
          <w:b w:val="false"/>
          <w:i w:val="false"/>
          <w:color w:val="000000"/>
          <w:sz w:val="22"/>
        </w:rPr>
        <w:t xml:space="preserve">, </w:t>
      </w:r>
      <w:hyperlink r:id="rId102">
        <w:r>
          <w:rPr>
            <w:rStyle w:val="Hyperlink"/>
            <w:rFonts w:ascii="Times New Roman" w:hAnsi="Times New Roman"/>
            <w:b w:val="false"/>
            <w:i w:val="false"/>
            <w:color w:val="000000"/>
            <w:sz w:val="22"/>
          </w:rPr>
          <w:t>68A.302</w:t>
        </w:r>
      </w:hyperlink>
      <w:r>
        <w:rPr>
          <w:rFonts w:ascii="Times New Roman" w:hAnsi="Times New Roman"/>
          <w:b w:val="false"/>
          <w:i w:val="false"/>
          <w:color w:val="000000"/>
          <w:sz w:val="22"/>
        </w:rPr>
        <w:t xml:space="preserve">, and </w:t>
      </w:r>
      <w:hyperlink r:id="rId103">
        <w:r>
          <w:rPr>
            <w:rStyle w:val="Hyperlink"/>
            <w:rFonts w:ascii="Times New Roman" w:hAnsi="Times New Roman"/>
            <w:b w:val="false"/>
            <w:i w:val="false"/>
            <w:color w:val="000000"/>
            <w:sz w:val="22"/>
          </w:rPr>
          <w:t>68A.303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7647B</w:t>
      </w:r>
      <w:r>
        <w:rPr>
          <w:rFonts w:ascii="Times New Roman" w:hAnsi="Times New Roman"/>
          <w:b w:val="false"/>
          <w:i w:val="false"/>
          <w:color w:val="000000"/>
          <w:sz w:val="16"/>
        </w:rPr>
        <w:t>, IAB 3/25/09, effective 4/29/09</w:t>
      </w:r>
      <w:r>
        <w:rPr>
          <w:rFonts w:ascii="Times New Roman" w:hAnsi="Times New Roman"/>
          <w:b w:val="false"/>
          <w:i w:val="false"/>
          <w:color w:val="000000"/>
          <w:sz w:val="16"/>
        </w:rPr>
        <w:t xml:space="preserve">; </w:t>
      </w:r>
      <w:r>
        <w:rPr>
          <w:rFonts w:ascii="Times New Roman" w:hAnsi="Times New Roman"/>
          <w:b/>
          <w:i w:val="false"/>
          <w:color w:val="000000"/>
          <w:sz w:val="16"/>
        </w:rPr>
        <w:t>ARC 7801B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351—4.26</w:t>
      </w:r>
      <w:r>
        <w:rPr>
          <w:rFonts w:ascii="Times New Roman" w:hAnsi="Times New Roman"/>
          <w:b/>
          <w:i w:val="false"/>
          <w:color w:val="000000"/>
          <w:sz w:val="22"/>
        </w:rPr>
        <w:t xml:space="preserve">(68A) </w:t>
      </w:r>
      <w:r>
        <w:rPr>
          <w:rFonts w:ascii="Times New Roman" w:hAnsi="Times New Roman"/>
          <w:b/>
          <w:i w:val="false"/>
          <w:color w:val="000000"/>
          <w:sz w:val="22"/>
        </w:rPr>
        <w:t xml:space="preserve">Transfers between candidates.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4.26(1)</w:t>
      </w:r>
      <w:r>
        <w:rPr>
          <w:rFonts w:ascii="Times New Roman" w:hAnsi="Times New Roman"/>
          <w:b w:val="false"/>
          <w:i w:val="false"/>
          <w:color w:val="000000"/>
          <w:sz w:val="22"/>
        </w:rPr>
        <w:t> </w:t>
      </w:r>
      <w:r>
        <w:rPr>
          <w:rFonts w:ascii="Times New Roman" w:hAnsi="Times New Roman"/>
          <w:b w:val="false"/>
          <w:i/>
          <w:color w:val="000000"/>
          <w:sz w:val="22"/>
        </w:rPr>
        <w:t xml:space="preserve">Transfer of assets between different candidates. </w:t>
      </w:r>
      <w:r>
        <w:rPr>
          <w:rFonts w:ascii="Times New Roman" w:hAnsi="Times New Roman"/>
          <w:b w:val="false"/>
          <w:i w:val="false"/>
          <w:color w:val="000000"/>
          <w:sz w:val="22"/>
        </w:rPr>
        <w:t>A candidate’s committee may transfer an asset to a candidate’s committee established by a different candidate so long as the recipient committee pays the transferring committee the fair market value of the asset and the transaction is properly disclosed on each committee’s disclosure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4.26(2)</w:t>
      </w:r>
      <w:r>
        <w:rPr>
          <w:rFonts w:ascii="Times New Roman" w:hAnsi="Times New Roman"/>
          <w:b w:val="false"/>
          <w:i w:val="false"/>
          <w:color w:val="000000"/>
          <w:sz w:val="22"/>
        </w:rPr>
        <w:t> </w:t>
      </w:r>
      <w:r>
        <w:rPr>
          <w:rFonts w:ascii="Times New Roman" w:hAnsi="Times New Roman"/>
          <w:b w:val="false"/>
          <w:i/>
          <w:color w:val="000000"/>
          <w:sz w:val="22"/>
        </w:rPr>
        <w:t xml:space="preserve">Transfer of assets for same candidate. </w:t>
      </w:r>
      <w:r>
        <w:rPr>
          <w:rFonts w:ascii="Times New Roman" w:hAnsi="Times New Roman"/>
          <w:b w:val="false"/>
          <w:i w:val="false"/>
          <w:color w:val="000000"/>
          <w:sz w:val="22"/>
        </w:rPr>
        <w:t>A candidate’s committee may transfer funds, assets, loans, and debts to a committee established for a different office when the same candidate established both committees. A candidate seeking to transfer funds, assets, loans, or debts under this subrule shall file either an amended statement of organization disclosing information for the new office sought or register a new committee regardless of whether the $1,000 financial filing threshold for the new office will be exceeded.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4">
        <w:r>
          <w:rPr>
            <w:rStyle w:val="Hyperlink"/>
            <w:rFonts w:ascii="Times New Roman" w:hAnsi="Times New Roman"/>
            <w:b w:val="false"/>
            <w:i w:val="false"/>
            <w:color w:val="000000"/>
            <w:sz w:val="22"/>
          </w:rPr>
          <w:t>68A.303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7992B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351—4.27</w:t>
      </w:r>
      <w:r>
        <w:rPr>
          <w:rFonts w:ascii="Times New Roman" w:hAnsi="Times New Roman"/>
          <w:b/>
          <w:i w:val="false"/>
          <w:color w:val="000000"/>
          <w:sz w:val="22"/>
        </w:rPr>
        <w:t xml:space="preserve">(68A) </w:t>
      </w:r>
      <w:r>
        <w:rPr>
          <w:rFonts w:ascii="Times New Roman" w:hAnsi="Times New Roman"/>
          <w:b/>
          <w:i w:val="false"/>
          <w:color w:val="000000"/>
          <w:sz w:val="22"/>
        </w:rPr>
        <w:t xml:space="preserve">Filing of independent expenditure statement. </w:t>
      </w:r>
      <w:r>
        <w:rPr>
          <w:rFonts w:ascii="Times New Roman" w:hAnsi="Times New Roman"/>
          <w:b w:val="false"/>
          <w:i w:val="false"/>
          <w:color w:val="000000"/>
          <w:sz w:val="22"/>
        </w:rPr>
        <w:t xml:space="preserve">Pursuant to Iowa Code section </w:t>
      </w:r>
      <w:hyperlink r:id="rId105">
        <w:r>
          <w:rPr>
            <w:rStyle w:val="Hyperlink"/>
            <w:rFonts w:ascii="Times New Roman" w:hAnsi="Times New Roman"/>
            <w:b w:val="false"/>
            <w:i w:val="false"/>
            <w:color w:val="000000"/>
            <w:sz w:val="22"/>
          </w:rPr>
          <w:t>68A.404</w:t>
        </w:r>
      </w:hyperlink>
      <w:r>
        <w:rPr>
          <w:rFonts w:ascii="Times New Roman" w:hAnsi="Times New Roman"/>
          <w:b w:val="false"/>
          <w:i w:val="false"/>
          <w:color w:val="000000"/>
          <w:sz w:val="22"/>
        </w:rPr>
        <w:t>, any person except a candidate, a committee filing a statement of organization, a federal committee, or an out-of-state committee that makes one or more independent expenditures in excess of $1,000 in the aggregate shall file Form Ind-Exp-O. A sole individual making one or more independent expenditures in excess of $1,000 in the aggregate shall file Form Ind-Exp-I. A committee that has registered by filing a statement of organization shall disclose an independent expenditure on the appropriate campaign disclosure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4.27(1)</w:t>
      </w:r>
      <w:r>
        <w:rPr>
          <w:rFonts w:ascii="Times New Roman" w:hAnsi="Times New Roman"/>
          <w:b w:val="false"/>
          <w:i w:val="false"/>
          <w:color w:val="000000"/>
          <w:sz w:val="22"/>
        </w:rPr>
        <w:t> </w:t>
      </w:r>
      <w:r>
        <w:rPr>
          <w:rFonts w:ascii="Times New Roman" w:hAnsi="Times New Roman"/>
          <w:b w:val="false"/>
          <w:i/>
          <w:color w:val="000000"/>
          <w:sz w:val="22"/>
        </w:rPr>
        <w:t xml:space="preserve">Independent expenditure defined. </w:t>
      </w:r>
      <w:r>
        <w:rPr>
          <w:rFonts w:ascii="Times New Roman" w:hAnsi="Times New Roman"/>
          <w:b w:val="false"/>
          <w:i w:val="false"/>
          <w:color w:val="000000"/>
          <w:sz w:val="22"/>
        </w:rPr>
        <w:t xml:space="preserve">“Independent expenditure” means an expenditure as defined in Iowa Code section </w:t>
      </w:r>
      <w:hyperlink r:id="rId106">
        <w:r>
          <w:rPr>
            <w:rStyle w:val="Hyperlink"/>
            <w:rFonts w:ascii="Times New Roman" w:hAnsi="Times New Roman"/>
            <w:b w:val="false"/>
            <w:i w:val="false"/>
            <w:color w:val="000000"/>
            <w:sz w:val="22"/>
          </w:rPr>
          <w:t>68A.404(1)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4.27(2)</w:t>
      </w:r>
      <w:r>
        <w:rPr>
          <w:rFonts w:ascii="Times New Roman" w:hAnsi="Times New Roman"/>
          <w:b w:val="false"/>
          <w:i w:val="false"/>
          <w:color w:val="000000"/>
          <w:sz w:val="22"/>
        </w:rPr>
        <w:t> </w:t>
      </w:r>
      <w:r>
        <w:rPr>
          <w:rFonts w:ascii="Times New Roman" w:hAnsi="Times New Roman"/>
          <w:b w:val="false"/>
          <w:i/>
          <w:color w:val="000000"/>
          <w:sz w:val="22"/>
        </w:rPr>
        <w:t xml:space="preserve">Independent expenditure reporting. </w:t>
      </w:r>
      <w:r>
        <w:rPr>
          <w:rFonts w:ascii="Times New Roman" w:hAnsi="Times New Roman"/>
          <w:b w:val="false"/>
          <w:i w:val="false"/>
          <w:color w:val="000000"/>
          <w:sz w:val="22"/>
        </w:rPr>
        <w:t xml:space="preserve">When applicable under Iowa Code section </w:t>
      </w:r>
      <w:hyperlink r:id="rId107">
        <w:r>
          <w:rPr>
            <w:rStyle w:val="Hyperlink"/>
            <w:rFonts w:ascii="Times New Roman" w:hAnsi="Times New Roman"/>
            <w:b w:val="false"/>
            <w:i w:val="false"/>
            <w:color w:val="000000"/>
            <w:sz w:val="22"/>
          </w:rPr>
          <w:t>68A.404</w:t>
        </w:r>
      </w:hyperlink>
      <w:r>
        <w:rPr>
          <w:rFonts w:ascii="Times New Roman" w:hAnsi="Times New Roman"/>
          <w:b w:val="false"/>
          <w:i w:val="false"/>
          <w:color w:val="000000"/>
          <w:sz w:val="22"/>
        </w:rPr>
        <w:t xml:space="preserve"> and this rule, Form Ind-Exp-O shall be filed by a person and Form Ind-Exp-I shall be filed by a sole individual. Both forms shall be in a format that will enable a person or sole individual making an independent expenditure to comply with all of the reporting requirements in Iowa Code section </w:t>
      </w:r>
      <w:hyperlink r:id="rId108">
        <w:r>
          <w:rPr>
            <w:rStyle w:val="Hyperlink"/>
            <w:rFonts w:ascii="Times New Roman" w:hAnsi="Times New Roman"/>
            <w:b w:val="false"/>
            <w:i w:val="false"/>
            <w:color w:val="000000"/>
            <w:sz w:val="22"/>
          </w:rPr>
          <w:t>68A.404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w:t>
      </w:r>
      <w:r>
        <w:rPr>
          <w:rFonts w:ascii="Times New Roman" w:hAnsi="Times New Roman"/>
          <w:b w:val="false"/>
          <w:i w:val="false"/>
          <w:color w:val="000000"/>
          <w:sz w:val="22"/>
        </w:rPr>
        <w:t> </w:t>
      </w:r>
      <w:r>
        <w:rPr>
          <w:rFonts w:ascii="Times New Roman" w:hAnsi="Times New Roman"/>
          <w:b w:val="false"/>
          <w:i/>
          <w:color w:val="000000"/>
          <w:sz w:val="22"/>
        </w:rPr>
        <w:t xml:space="preserve">Place of filing. </w:t>
      </w:r>
      <w:r>
        <w:rPr>
          <w:rFonts w:ascii="Times New Roman" w:hAnsi="Times New Roman"/>
          <w:b w:val="false"/>
          <w:i w:val="false"/>
          <w:color w:val="000000"/>
          <w:sz w:val="22"/>
        </w:rPr>
        <w:t xml:space="preserve">Form Ind-Exp-O and Form Ind-Exp-I shall be filed with the board electronically via the board’s website at </w:t>
      </w:r>
      <w:hyperlink r:id="rId109">
        <w:r>
          <w:rPr>
            <w:rStyle w:val="Hyperlink"/>
            <w:rFonts w:ascii="Times New Roman" w:hAnsi="Times New Roman"/>
            <w:b w:val="false"/>
            <w:i w:val="false"/>
            <w:color w:val="000000"/>
            <w:sz w:val="22"/>
            <w:u w:val="single"/>
          </w:rPr>
          <w:t>ethics.iowa.gov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4.27(4)</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Form Ind-Exp-O or Form Ind-Exp-I shall be filed within 48 hours of the person’s or sole individual’s making an independent expenditure exceeding $1,000 in the aggregate or within 48 hours of disseminating the communication to its intended audience, whichever is earlier. An independent expenditure is deemed made at the time that the cost is incurred regardless of whether or not the costs for the independent expenditure have been billed.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4.27(5)</w:t>
      </w:r>
      <w:r>
        <w:rPr>
          <w:rFonts w:ascii="Times New Roman" w:hAnsi="Times New Roman"/>
          <w:b w:val="false"/>
          <w:i w:val="false"/>
          <w:color w:val="000000"/>
          <w:sz w:val="22"/>
        </w:rPr>
        <w:t> </w:t>
      </w:r>
      <w:r>
        <w:rPr>
          <w:rFonts w:ascii="Times New Roman" w:hAnsi="Times New Roman"/>
          <w:b w:val="false"/>
          <w:i/>
          <w:color w:val="000000"/>
          <w:sz w:val="22"/>
        </w:rPr>
        <w:t xml:space="preserve">Failure to file. </w:t>
      </w:r>
      <w:r>
        <w:rPr>
          <w:rFonts w:ascii="Times New Roman" w:hAnsi="Times New Roman"/>
          <w:b w:val="false"/>
          <w:i w:val="false"/>
          <w:color w:val="000000"/>
          <w:sz w:val="22"/>
        </w:rPr>
        <w:t xml:space="preserve">The failure to timely file either Form Ind-Exp-O or Form Ind-Exp-I shall be subject to the imposition of civil penalties pursuant to </w:t>
      </w:r>
      <w:hyperlink r:id="rId110">
        <w:r>
          <w:rPr>
            <w:rStyle w:val="Hyperlink"/>
            <w:rFonts w:ascii="Times New Roman" w:hAnsi="Times New Roman"/>
            <w:b w:val="false"/>
            <w:i w:val="false"/>
            <w:color w:val="000000"/>
            <w:sz w:val="22"/>
          </w:rPr>
          <w:t>351—subrule 4.59(7)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4.27(6)</w:t>
      </w:r>
      <w:r>
        <w:rPr>
          <w:rFonts w:ascii="Times New Roman" w:hAnsi="Times New Roman"/>
          <w:b w:val="false"/>
          <w:i w:val="false"/>
          <w:color w:val="000000"/>
          <w:sz w:val="22"/>
        </w:rPr>
        <w:t> </w:t>
      </w:r>
      <w:r>
        <w:rPr>
          <w:rFonts w:ascii="Times New Roman" w:hAnsi="Times New Roman"/>
          <w:b w:val="false"/>
          <w:i/>
          <w:color w:val="000000"/>
          <w:sz w:val="22"/>
        </w:rPr>
        <w:t xml:space="preserve">Attribution statement applicable. </w:t>
      </w:r>
      <w:r>
        <w:rPr>
          <w:rFonts w:ascii="Times New Roman" w:hAnsi="Times New Roman"/>
          <w:b w:val="false"/>
          <w:i w:val="false"/>
          <w:color w:val="000000"/>
          <w:sz w:val="22"/>
        </w:rPr>
        <w:t xml:space="preserve">Any person that makes an independent expenditure in any amount shall comply with the appropriate “paid for by” attribution statement pursuant to Iowa Code section </w:t>
      </w:r>
      <w:hyperlink r:id="rId111">
        <w:r>
          <w:rPr>
            <w:rStyle w:val="Hyperlink"/>
            <w:rFonts w:ascii="Times New Roman" w:hAnsi="Times New Roman"/>
            <w:b w:val="false"/>
            <w:i w:val="false"/>
            <w:color w:val="000000"/>
            <w:sz w:val="22"/>
          </w:rPr>
          <w:t>68A.405</w:t>
        </w:r>
      </w:hyperlink>
      <w:r>
        <w:rPr>
          <w:rFonts w:ascii="Times New Roman" w:hAnsi="Times New Roman"/>
          <w:b w:val="false"/>
          <w:i w:val="false"/>
          <w:color w:val="000000"/>
          <w:sz w:val="22"/>
        </w:rPr>
        <w:t xml:space="preserve"> and rule </w:t>
      </w:r>
      <w:hyperlink r:id="rId112">
        <w:r>
          <w:rPr>
            <w:rStyle w:val="Hyperlink"/>
            <w:rFonts w:ascii="Times New Roman" w:hAnsi="Times New Roman"/>
            <w:b w:val="false"/>
            <w:i w:val="false"/>
            <w:color w:val="000000"/>
            <w:sz w:val="22"/>
          </w:rPr>
          <w:t>351—4.38</w:t>
        </w:r>
      </w:hyperlink>
      <w:r>
        <w:rPr>
          <w:rFonts w:ascii="Times New Roman" w:hAnsi="Times New Roman"/>
          <w:b w:val="false"/>
          <w:i w:val="false"/>
          <w:color w:val="000000"/>
          <w:sz w:val="22"/>
        </w:rPr>
        <w:t>(68A).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3">
        <w:r>
          <w:rPr>
            <w:rStyle w:val="Hyperlink"/>
            <w:rFonts w:ascii="Times New Roman" w:hAnsi="Times New Roman"/>
            <w:b w:val="false"/>
            <w:i w:val="false"/>
            <w:color w:val="000000"/>
            <w:sz w:val="22"/>
          </w:rPr>
          <w:t>68A.404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7800B</w:t>
      </w:r>
      <w:r>
        <w:rPr>
          <w:rFonts w:ascii="Times New Roman" w:hAnsi="Times New Roman"/>
          <w:b w:val="false"/>
          <w:i w:val="false"/>
          <w:color w:val="000000"/>
          <w:sz w:val="16"/>
        </w:rPr>
        <w:t>, IAB 6/3/09, effective 7/8/09</w:t>
      </w:r>
      <w:r>
        <w:rPr>
          <w:rFonts w:ascii="Times New Roman" w:hAnsi="Times New Roman"/>
          <w:b w:val="false"/>
          <w:i w:val="false"/>
          <w:color w:val="000000"/>
          <w:sz w:val="16"/>
        </w:rPr>
        <w:t xml:space="preserve">; </w:t>
      </w:r>
      <w:r>
        <w:rPr>
          <w:rFonts w:ascii="Times New Roman" w:hAnsi="Times New Roman"/>
          <w:b/>
          <w:i w:val="false"/>
          <w:color w:val="000000"/>
          <w:sz w:val="16"/>
        </w:rPr>
        <w:t>ARC 8826B</w:t>
      </w:r>
      <w:r>
        <w:rPr>
          <w:rFonts w:ascii="Times New Roman" w:hAnsi="Times New Roman"/>
          <w:b w:val="false"/>
          <w:i w:val="false"/>
          <w:color w:val="000000"/>
          <w:sz w:val="16"/>
        </w:rPr>
        <w:t>, IAB 6/2/10, effective 5/17/10</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351—4.28</w:t>
      </w:r>
      <w:r>
        <w:rPr>
          <w:rFonts w:ascii="Times New Roman" w:hAnsi="Times New Roman"/>
          <w:b/>
          <w:i w:val="false"/>
          <w:color w:val="000000"/>
          <w:sz w:val="22"/>
        </w:rPr>
        <w:t xml:space="preserve">(68A) </w:t>
      </w:r>
      <w:r>
        <w:rPr>
          <w:rFonts w:ascii="Times New Roman" w:hAnsi="Times New Roman"/>
          <w:b/>
          <w:i w:val="false"/>
          <w:color w:val="000000"/>
          <w:sz w:val="22"/>
        </w:rPr>
        <w:t xml:space="preserve">Prohibition on contributions and independent expenditures by foreign nationals. </w:t>
      </w:r>
      <w:r>
        <w:rPr>
          <w:rFonts w:ascii="Times New Roman" w:hAnsi="Times New Roman"/>
          <w:b w:val="false"/>
          <w:i w:val="false"/>
          <w:color w:val="000000"/>
          <w:sz w:val="22"/>
        </w:rPr>
        <w:t xml:space="preserve">A foreign national shall not, directly or indirectly, make a contribution to a candidate or to a campaign committee organized under Iowa Code chapter </w:t>
      </w:r>
      <w:hyperlink r:id="rId114">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Pursuant to Iowa Code section 68A.404(2)</w:t>
      </w:r>
      <w:r>
        <w:rPr>
          <w:rFonts w:ascii="Times New Roman" w:hAnsi="Times New Roman"/>
          <w:b w:val="false"/>
          <w:i/>
          <w:color w:val="000000"/>
          <w:sz w:val="22"/>
        </w:rPr>
        <w:t>“c,”</w:t>
      </w:r>
      <w:r>
        <w:rPr>
          <w:rFonts w:ascii="Times New Roman" w:hAnsi="Times New Roman"/>
          <w:b w:val="false"/>
          <w:i w:val="false"/>
          <w:color w:val="000000"/>
          <w:sz w:val="22"/>
        </w:rPr>
        <w:t xml:space="preserve"> foreign nationals are prohibited from making independent expenditures in relation to any state or local election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4.28(1)</w:t>
      </w:r>
      <w:r>
        <w:rPr>
          <w:rFonts w:ascii="Times New Roman" w:hAnsi="Times New Roman"/>
          <w:b w:val="false"/>
          <w:i w:val="false"/>
          <w:color w:val="000000"/>
          <w:sz w:val="22"/>
        </w:rPr>
        <w:t> </w:t>
      </w:r>
      <w:r>
        <w:rPr>
          <w:rFonts w:ascii="Times New Roman" w:hAnsi="Times New Roman"/>
          <w:b w:val="false"/>
          <w:i/>
          <w:color w:val="000000"/>
          <w:sz w:val="22"/>
        </w:rPr>
        <w:t xml:space="preserve">Foreign national defined. </w:t>
      </w:r>
      <w:r>
        <w:rPr>
          <w:rFonts w:ascii="Times New Roman" w:hAnsi="Times New Roman"/>
          <w:b w:val="false"/>
          <w:i w:val="false"/>
          <w:color w:val="000000"/>
          <w:sz w:val="22"/>
        </w:rPr>
        <w:t xml:space="preserve">“Foreign national” means a person as defined in Iowa Code section </w:t>
      </w:r>
      <w:hyperlink r:id="rId115">
        <w:r>
          <w:rPr>
            <w:rStyle w:val="Hyperlink"/>
            <w:rFonts w:ascii="Times New Roman" w:hAnsi="Times New Roman"/>
            <w:b w:val="false"/>
            <w:i w:val="false"/>
            <w:color w:val="000000"/>
            <w:sz w:val="22"/>
          </w:rPr>
          <w:t>68A.404(2)</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4.28(2)</w:t>
      </w:r>
      <w:r>
        <w:rPr>
          <w:rFonts w:ascii="Times New Roman" w:hAnsi="Times New Roman"/>
          <w:b w:val="false"/>
          <w:i w:val="false"/>
          <w:color w:val="000000"/>
          <w:sz w:val="22"/>
        </w:rPr>
        <w:t> </w:t>
      </w:r>
      <w:r>
        <w:rPr>
          <w:rFonts w:ascii="Times New Roman" w:hAnsi="Times New Roman"/>
          <w:b w:val="false"/>
          <w:i/>
          <w:color w:val="000000"/>
          <w:sz w:val="22"/>
        </w:rPr>
        <w:t xml:space="preserve">Acceptance of campaign contributions and donations from foreign nationals. </w:t>
      </w:r>
      <w:r>
        <w:rPr>
          <w:rFonts w:ascii="Times New Roman" w:hAnsi="Times New Roman"/>
          <w:b w:val="false"/>
          <w:i w:val="false"/>
          <w:color w:val="000000"/>
          <w:sz w:val="22"/>
        </w:rPr>
        <w:t>No person shall knowingly accept or receive a campaign contribution from a foreign national. No person shall knowingly accept a monetary donation from a foreign national for purposes of making an independent expenditure.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4.28(3)</w:t>
      </w:r>
      <w:r>
        <w:rPr>
          <w:rFonts w:ascii="Times New Roman" w:hAnsi="Times New Roman"/>
          <w:b w:val="false"/>
          <w:i w:val="false"/>
          <w:color w:val="000000"/>
          <w:sz w:val="22"/>
        </w:rPr>
        <w:t> </w:t>
      </w:r>
      <w:r>
        <w:rPr>
          <w:rFonts w:ascii="Times New Roman" w:hAnsi="Times New Roman"/>
          <w:b w:val="false"/>
          <w:i/>
          <w:color w:val="000000"/>
          <w:sz w:val="22"/>
        </w:rPr>
        <w:t xml:space="preserve">Participation by foreign nationals in decisions involving election-related activity. </w:t>
      </w:r>
      <w:r>
        <w:rPr>
          <w:rFonts w:ascii="Times New Roman" w:hAnsi="Times New Roman"/>
          <w:b w:val="false"/>
          <w:i w:val="false"/>
          <w:color w:val="000000"/>
          <w:sz w:val="22"/>
        </w:rPr>
        <w:t>A foreign national shall not, directly or indirectly, participate in the decision-making process of any person with regard to such person’s election-related activities. Decisions including election-related activities include decisions involving the making of contributions, donations, or expenditures in connection with elections for state or local office, ballot issues, or decisions involving the administration of a committee.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6">
        <w:r>
          <w:rPr>
            <w:rStyle w:val="Hyperlink"/>
            <w:rFonts w:ascii="Times New Roman" w:hAnsi="Times New Roman"/>
            <w:b w:val="false"/>
            <w:i w:val="false"/>
            <w:color w:val="000000"/>
            <w:sz w:val="22"/>
          </w:rPr>
          <w:t>68A.404(2)</w:t>
        </w:r>
      </w:hyperlink>
      <w:r>
        <w:rPr>
          <w:rFonts w:ascii="Times New Roman" w:hAnsi="Times New Roman"/>
          <w:b w:val="false"/>
          <w:i/>
          <w:color w:val="000000"/>
          <w:sz w:val="22"/>
        </w:rPr>
        <w:t>“c.”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8826B</w:t>
      </w:r>
      <w:r>
        <w:rPr>
          <w:rFonts w:ascii="Times New Roman" w:hAnsi="Times New Roman"/>
          <w:b w:val="false"/>
          <w:i w:val="false"/>
          <w:color w:val="000000"/>
          <w:sz w:val="16"/>
        </w:rPr>
        <w:t>, IAB 6/2/10, effective 5/17/10</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351—4.29</w:t>
      </w:r>
      <w:r>
        <w:rPr>
          <w:rFonts w:ascii="Times New Roman" w:hAnsi="Times New Roman"/>
          <w:b/>
          <w:i w:val="false"/>
          <w:color w:val="000000"/>
          <w:sz w:val="22"/>
        </w:rPr>
        <w:t xml:space="preserve">(68A,68B) </w:t>
      </w:r>
      <w:r>
        <w:rPr>
          <w:rFonts w:ascii="Times New Roman" w:hAnsi="Times New Roman"/>
          <w:b/>
          <w:i w:val="false"/>
          <w:color w:val="000000"/>
          <w:sz w:val="22"/>
        </w:rPr>
        <w:t xml:space="preserve">Contributions by minors. </w:t>
      </w:r>
      <w:r>
        <w:rPr>
          <w:rFonts w:ascii="Times New Roman" w:hAnsi="Times New Roman"/>
          <w:b w:val="false"/>
          <w:i w:val="false"/>
          <w:color w:val="000000"/>
          <w:sz w:val="22"/>
        </w:rPr>
        <w:t>Persons under 18 years of age may make contributions to a candidate or political committee if all of the following conditions exist: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decision to contribute is made knowingly and voluntarily by the minor;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funds, goods, or services contributed are owned or controlled exclusively by the minor, such as income earned by the minor, the proceeds of a trust for which the minor is the beneficiary, or a savings account opened and maintained exclusively in the minor’s name;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contribution is not made from the proceeds of a gift, the purpose of which was to provide funds to be contributed, or is not in any other way controlled by another person.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17">
        <w:r>
          <w:rPr>
            <w:rStyle w:val="Hyperlink"/>
            <w:rFonts w:ascii="Times New Roman" w:hAnsi="Times New Roman"/>
            <w:b w:val="false"/>
            <w:i w:val="false"/>
            <w:color w:val="000000"/>
            <w:sz w:val="22"/>
          </w:rPr>
          <w:t>68A.404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351—4.30</w:t>
      </w:r>
      <w:r>
        <w:rPr>
          <w:rFonts w:ascii="Times New Roman" w:hAnsi="Times New Roman"/>
          <w:b/>
          <w:i w:val="false"/>
          <w:color w:val="000000"/>
          <w:sz w:val="22"/>
        </w:rPr>
        <w:t xml:space="preserve">(68A,68B) </w:t>
      </w:r>
      <w:r>
        <w:rPr>
          <w:rFonts w:ascii="Times New Roman" w:hAnsi="Times New Roman"/>
          <w:b/>
          <w:i w:val="false"/>
          <w:color w:val="000000"/>
          <w:sz w:val="22"/>
        </w:rPr>
        <w:t xml:space="preserve">Funds from unknown source prohibited; subsequent identification of source; notice to contributors.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4.30(1)</w:t>
      </w:r>
      <w:r>
        <w:rPr>
          <w:rFonts w:ascii="Times New Roman" w:hAnsi="Times New Roman"/>
          <w:b w:val="false"/>
          <w:i w:val="false"/>
          <w:color w:val="000000"/>
          <w:sz w:val="22"/>
        </w:rPr>
        <w:t> </w:t>
      </w:r>
      <w:r>
        <w:rPr>
          <w:rFonts w:ascii="Times New Roman" w:hAnsi="Times New Roman"/>
          <w:b w:val="false"/>
          <w:i/>
          <w:color w:val="000000"/>
          <w:sz w:val="22"/>
        </w:rPr>
        <w:t xml:space="preserve">Anonymous contributions in excess of $25 prohibited. </w:t>
      </w:r>
      <w:r>
        <w:rPr>
          <w:rFonts w:ascii="Times New Roman" w:hAnsi="Times New Roman"/>
          <w:b w:val="false"/>
          <w:i w:val="false"/>
          <w:color w:val="000000"/>
          <w:sz w:val="22"/>
        </w:rPr>
        <w:t>No person shall make a contribution in excess of $25 to a committee without providing the person’s name and address to the committee. The committee shall not maintain in any campaign account funds in excess of $25 that cannot be accounted for and reconciled with the committee’s disclosure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4.30(2)</w:t>
      </w:r>
      <w:r>
        <w:rPr>
          <w:rFonts w:ascii="Times New Roman" w:hAnsi="Times New Roman"/>
          <w:b w:val="false"/>
          <w:i w:val="false"/>
          <w:color w:val="000000"/>
          <w:sz w:val="22"/>
        </w:rPr>
        <w:t> </w:t>
      </w:r>
      <w:r>
        <w:rPr>
          <w:rFonts w:ascii="Times New Roman" w:hAnsi="Times New Roman"/>
          <w:b w:val="false"/>
          <w:i/>
          <w:color w:val="000000"/>
          <w:sz w:val="22"/>
        </w:rPr>
        <w:t xml:space="preserve">Escheat to the state. </w:t>
      </w:r>
      <w:r>
        <w:rPr>
          <w:rFonts w:ascii="Times New Roman" w:hAnsi="Times New Roman"/>
          <w:b w:val="false"/>
          <w:i w:val="false"/>
          <w:color w:val="000000"/>
          <w:sz w:val="22"/>
        </w:rPr>
        <w:t xml:space="preserve">Any contribution in excess of $25 from an unknown source or campaign funds in excess of $25 that cannot be accounted for and reconciled shall escheat to the state of Iowa as required by Iowa Code section </w:t>
      </w:r>
      <w:hyperlink r:id="rId118">
        <w:r>
          <w:rPr>
            <w:rStyle w:val="Hyperlink"/>
            <w:rFonts w:ascii="Times New Roman" w:hAnsi="Times New Roman"/>
            <w:b w:val="false"/>
            <w:i w:val="false"/>
            <w:color w:val="000000"/>
            <w:sz w:val="22"/>
          </w:rPr>
          <w:t>68A.501</w:t>
        </w:r>
      </w:hyperlink>
      <w:r>
        <w:rPr>
          <w:rFonts w:ascii="Times New Roman" w:hAnsi="Times New Roman"/>
          <w:b w:val="false"/>
          <w:i w:val="false"/>
          <w:color w:val="000000"/>
          <w:sz w:val="22"/>
        </w:rPr>
        <w:t>. A committee required to escheat shall escheat such funds by depositing the funds into the committee’s campaign account and issuing a committee check to the general fund in the same amount. The committee check shall be sent to the board office at 510 East 12th Street, Suite 1A, Des Moines, Iowa 50319, for transmittal to the office of treasurer of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4.30(3)</w:t>
      </w:r>
      <w:r>
        <w:rPr>
          <w:rFonts w:ascii="Times New Roman" w:hAnsi="Times New Roman"/>
          <w:b w:val="false"/>
          <w:i w:val="false"/>
          <w:color w:val="000000"/>
          <w:sz w:val="22"/>
        </w:rPr>
        <w:t> </w:t>
      </w:r>
      <w:r>
        <w:rPr>
          <w:rFonts w:ascii="Times New Roman" w:hAnsi="Times New Roman"/>
          <w:b w:val="false"/>
          <w:i/>
          <w:color w:val="000000"/>
          <w:sz w:val="22"/>
        </w:rPr>
        <w:t xml:space="preserve">Subsequent identification of source. </w:t>
      </w:r>
      <w:r>
        <w:rPr>
          <w:rFonts w:ascii="Times New Roman" w:hAnsi="Times New Roman"/>
          <w:b w:val="false"/>
          <w:i w:val="false"/>
          <w:color w:val="000000"/>
          <w:sz w:val="22"/>
        </w:rPr>
        <w:t>A committee discovering the source of any funds that have been escheated to the state may make an application to the board for a return of the funds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committee has not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Documentation of the name and address of the source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amount requested to be returned is in excess of $100;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application is made within 90 days of the date of the deposit in the general fund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4.30(4)</w:t>
      </w:r>
      <w:r>
        <w:rPr>
          <w:rFonts w:ascii="Times New Roman" w:hAnsi="Times New Roman"/>
          <w:b w:val="false"/>
          <w:i w:val="false"/>
          <w:color w:val="000000"/>
          <w:sz w:val="22"/>
        </w:rPr>
        <w:t> </w:t>
      </w:r>
      <w:r>
        <w:rPr>
          <w:rFonts w:ascii="Times New Roman" w:hAnsi="Times New Roman"/>
          <w:b w:val="false"/>
          <w:i/>
          <w:color w:val="000000"/>
          <w:sz w:val="22"/>
        </w:rPr>
        <w:t xml:space="preserve">Notice at fund-raising event. </w:t>
      </w:r>
      <w:r>
        <w:rPr>
          <w:rFonts w:ascii="Times New Roman" w:hAnsi="Times New Roman"/>
          <w:b w:val="false"/>
          <w:i w:val="false"/>
          <w:color w:val="000000"/>
          <w:sz w:val="22"/>
        </w:rPr>
        <w:t xml:space="preserve">Pursuant to Iowa Code section </w:t>
      </w:r>
      <w:hyperlink r:id="rId119">
        <w:r>
          <w:rPr>
            <w:rStyle w:val="Hyperlink"/>
            <w:rFonts w:ascii="Times New Roman" w:hAnsi="Times New Roman"/>
            <w:b w:val="false"/>
            <w:i w:val="false"/>
            <w:color w:val="000000"/>
            <w:sz w:val="22"/>
          </w:rPr>
          <w:t>68A.501</w:t>
        </w:r>
      </w:hyperlink>
      <w:r>
        <w:rPr>
          <w:rFonts w:ascii="Times New Roman" w:hAnsi="Times New Roman"/>
          <w:b w:val="false"/>
          <w:i w:val="false"/>
          <w:color w:val="000000"/>
          <w:sz w:val="22"/>
        </w:rPr>
        <w:t>, a person requested to make a contribution at a fund-raising event shall be advised that it is illegal to make a contribution in excess of $25 unless the person making the contribution also provides the person’s name and address. Notice of the requirement to provide a person’s name and address for a contribution in excess of $25 may be made orally or in a written statement that is displayed at the fund-raising event.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0">
        <w:r>
          <w:rPr>
            <w:rStyle w:val="Hyperlink"/>
            <w:rFonts w:ascii="Times New Roman" w:hAnsi="Times New Roman"/>
            <w:b w:val="false"/>
            <w:i w:val="false"/>
            <w:color w:val="000000"/>
            <w:sz w:val="22"/>
          </w:rPr>
          <w:t>68A.501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351—4.31</w:t>
      </w:r>
      <w:r>
        <w:rPr>
          <w:rFonts w:ascii="Times New Roman" w:hAnsi="Times New Roman"/>
          <w:b/>
          <w:i w:val="false"/>
          <w:color w:val="000000"/>
          <w:sz w:val="22"/>
        </w:rPr>
        <w:t xml:space="preserve">(68A) </w:t>
      </w:r>
      <w:r>
        <w:rPr>
          <w:rFonts w:ascii="Times New Roman" w:hAnsi="Times New Roman"/>
          <w:b/>
          <w:i w:val="false"/>
          <w:color w:val="000000"/>
          <w:sz w:val="22"/>
        </w:rPr>
        <w:t xml:space="preserve">Information required for a trust to avoid a contribution in the name of another person. </w:t>
      </w:r>
      <w:r>
        <w:rPr>
          <w:rFonts w:ascii="Times New Roman" w:hAnsi="Times New Roman"/>
          <w:b w:val="false"/>
          <w:i w:val="false"/>
          <w:color w:val="000000"/>
          <w:sz w:val="22"/>
        </w:rPr>
        <w:t xml:space="preserve">A contribution to a committee by a trustee solely in the name of the trust constitutes a contribution in the name of another person as prohibited in Iowa Code section </w:t>
      </w:r>
      <w:hyperlink r:id="rId121">
        <w:r>
          <w:rPr>
            <w:rStyle w:val="Hyperlink"/>
            <w:rFonts w:ascii="Times New Roman" w:hAnsi="Times New Roman"/>
            <w:b w:val="false"/>
            <w:i w:val="false"/>
            <w:color w:val="000000"/>
            <w:sz w:val="22"/>
          </w:rPr>
          <w:t>68A.502</w:t>
        </w:r>
      </w:hyperlink>
      <w:r>
        <w:rPr>
          <w:rFonts w:ascii="Times New Roman" w:hAnsi="Times New Roman"/>
          <w:b w:val="false"/>
          <w:i w:val="false"/>
          <w:color w:val="000000"/>
          <w:sz w:val="22"/>
        </w:rPr>
        <w:t xml:space="preserve"> unless the recipient committee publicly discloses the contribution as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w:t>
      </w:r>
      <w:r>
        <w:rPr>
          <w:rFonts w:ascii="Times New Roman" w:hAnsi="Times New Roman"/>
          <w:b w:val="false"/>
          <w:i w:val="false"/>
          <w:color w:val="000000"/>
          <w:sz w:val="22"/>
        </w:rPr>
        <w:t> </w:t>
      </w:r>
      <w:r>
        <w:rPr>
          <w:rFonts w:ascii="Times New Roman" w:hAnsi="Times New Roman"/>
          <w:b w:val="false"/>
          <w:i/>
          <w:color w:val="000000"/>
          <w:sz w:val="22"/>
        </w:rPr>
        <w:t xml:space="preserve">Living or revocable trust. </w:t>
      </w:r>
      <w:r>
        <w:rPr>
          <w:rFonts w:ascii="Times New Roman" w:hAnsi="Times New Roman"/>
          <w:b w:val="false"/>
          <w:i w:val="false"/>
          <w:color w:val="000000"/>
          <w:sz w:val="22"/>
        </w:rPr>
        <w:t>If the contribution involves a trust identified as a revocable trust or a living trust that does not file a separate trust tax return and whose federal tax ID number is the same as the social security number of the grantor who creates the trust and who is also a trustee, the contribution shall be reported by the recipient committee as being made by the “(name) revocable (or living) trust.”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4.31(2)</w:t>
      </w:r>
      <w:r>
        <w:rPr>
          <w:rFonts w:ascii="Times New Roman" w:hAnsi="Times New Roman"/>
          <w:b w:val="false"/>
          <w:i w:val="false"/>
          <w:color w:val="000000"/>
          <w:sz w:val="22"/>
        </w:rPr>
        <w:t> </w:t>
      </w:r>
      <w:r>
        <w:rPr>
          <w:rFonts w:ascii="Times New Roman" w:hAnsi="Times New Roman"/>
          <w:b w:val="false"/>
          <w:i/>
          <w:color w:val="000000"/>
          <w:sz w:val="22"/>
        </w:rPr>
        <w:t xml:space="preserve">Other trusts. </w:t>
      </w:r>
      <w:r>
        <w:rPr>
          <w:rFonts w:ascii="Times New Roman" w:hAnsi="Times New Roman"/>
          <w:b w:val="false"/>
          <w:i w:val="false"/>
          <w:color w:val="000000"/>
          <w:sz w:val="22"/>
        </w:rPr>
        <w:t xml:space="preserve">For a contribution involving a trust that does not qualify under subrule </w:t>
      </w:r>
      <w:hyperlink r:id="rId122">
        <w:r>
          <w:rPr>
            <w:rStyle w:val="Hyperlink"/>
            <w:rFonts w:ascii="Times New Roman" w:hAnsi="Times New Roman"/>
            <w:b w:val="false"/>
            <w:i w:val="false"/>
            <w:color w:val="000000"/>
            <w:sz w:val="22"/>
          </w:rPr>
          <w:t>4.31(1)</w:t>
        </w:r>
      </w:hyperlink>
      <w:r>
        <w:rPr>
          <w:rFonts w:ascii="Times New Roman" w:hAnsi="Times New Roman"/>
          <w:b w:val="false"/>
          <w:i w:val="false"/>
          <w:color w:val="000000"/>
          <w:sz w:val="22"/>
        </w:rPr>
        <w:t>, the recipient committee shall identify the trust, the trustee, and the trustor.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4.31(3)</w:t>
      </w:r>
      <w:r>
        <w:rPr>
          <w:rFonts w:ascii="Times New Roman" w:hAnsi="Times New Roman"/>
          <w:b w:val="false"/>
          <w:i w:val="false"/>
          <w:color w:val="000000"/>
          <w:sz w:val="22"/>
        </w:rPr>
        <w:t> </w:t>
      </w:r>
      <w:r>
        <w:rPr>
          <w:rFonts w:ascii="Times New Roman" w:hAnsi="Times New Roman"/>
          <w:b w:val="false"/>
          <w:i/>
          <w:color w:val="000000"/>
          <w:sz w:val="22"/>
        </w:rPr>
        <w:t xml:space="preserve">Registering a committee. </w:t>
      </w:r>
      <w:r>
        <w:rPr>
          <w:rFonts w:ascii="Times New Roman" w:hAnsi="Times New Roman"/>
          <w:b w:val="false"/>
          <w:i w:val="false"/>
          <w:color w:val="000000"/>
          <w:sz w:val="22"/>
        </w:rPr>
        <w:t>A trust, except for a living or revocable trust, that raises or spends more than $1,000 for campaign activities shall register a political committee (PAC) and shall file disclosure reports. A trust, except for a living or revocable trust, that makes a one-time contribution in excess of $1,000 may file Form DR-OTC in lieu of filing a statement of organization and filing disclosure reports.</w:t>
      </w:r>
    </w:p>
    <w:p>
      <w:pPr>
        <w:spacing w:before="0" w:after="0"/>
        <w:ind w:left="120"/>
        <w:jc w:val="both"/>
      </w:pPr>
      <w:r>
        <w:rPr>
          <w:rFonts w:ascii="Times New Roman" w:hAnsi="Times New Roman"/>
          <w:b w:val="false"/>
          <w:i w:val="false"/>
          <w:color w:val="000000"/>
          <w:sz w:val="22"/>
        </w:rPr>
        <w:t xml:space="preserve">This rule is intended to implement Iowa Code Supplement sections </w:t>
      </w:r>
      <w:hyperlink r:id="rId123">
        <w:r>
          <w:rPr>
            <w:rStyle w:val="Hyperlink"/>
            <w:rFonts w:ascii="Times New Roman" w:hAnsi="Times New Roman"/>
            <w:b w:val="false"/>
            <w:i w:val="false"/>
            <w:color w:val="000000"/>
            <w:sz w:val="22"/>
          </w:rPr>
          <w:t>68A.402(6)</w:t>
        </w:r>
      </w:hyperlink>
      <w:r>
        <w:rPr>
          <w:rFonts w:ascii="Times New Roman" w:hAnsi="Times New Roman"/>
          <w:b w:val="false"/>
          <w:i w:val="false"/>
          <w:color w:val="000000"/>
          <w:sz w:val="22"/>
        </w:rPr>
        <w:t xml:space="preserve"> and </w:t>
      </w:r>
      <w:hyperlink r:id="rId124">
        <w:r>
          <w:rPr>
            <w:rStyle w:val="Hyperlink"/>
            <w:rFonts w:ascii="Times New Roman" w:hAnsi="Times New Roman"/>
            <w:b w:val="false"/>
            <w:i w:val="false"/>
            <w:color w:val="000000"/>
            <w:sz w:val="22"/>
          </w:rPr>
          <w:t>68A.502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351—4.32</w:t>
      </w:r>
      <w:r>
        <w:rPr>
          <w:rFonts w:ascii="Times New Roman" w:hAnsi="Times New Roman"/>
          <w:b/>
          <w:i w:val="false"/>
          <w:color w:val="000000"/>
          <w:sz w:val="22"/>
        </w:rPr>
        <w:t xml:space="preserve">(68A) </w:t>
      </w:r>
      <w:r>
        <w:rPr>
          <w:rFonts w:ascii="Times New Roman" w:hAnsi="Times New Roman"/>
          <w:b/>
          <w:i w:val="false"/>
          <w:color w:val="000000"/>
          <w:sz w:val="22"/>
        </w:rPr>
        <w:t xml:space="preserve">Contributions from political committees not organized in Iowa. </w:t>
      </w:r>
      <w:r>
        <w:rPr>
          <w:rFonts w:ascii="Times New Roman" w:hAnsi="Times New Roman"/>
          <w:b w:val="false"/>
          <w:i w:val="false"/>
          <w:color w:val="000000"/>
          <w:sz w:val="22"/>
        </w:rPr>
        <w:t xml:space="preserve">Iowa committees may receive contributions from committees outside Iowa, and committees outside Iowa may contribute to Iowa committees provided the out-of-state committee complies with either subrule </w:t>
      </w:r>
      <w:hyperlink r:id="rId125">
        <w:r>
          <w:rPr>
            <w:rStyle w:val="Hyperlink"/>
            <w:rFonts w:ascii="Times New Roman" w:hAnsi="Times New Roman"/>
            <w:b w:val="false"/>
            <w:i w:val="false"/>
            <w:color w:val="000000"/>
            <w:sz w:val="22"/>
          </w:rPr>
          <w:t>4.32(1)</w:t>
        </w:r>
      </w:hyperlink>
      <w:r>
        <w:rPr>
          <w:rFonts w:ascii="Times New Roman" w:hAnsi="Times New Roman"/>
          <w:b w:val="false"/>
          <w:i w:val="false"/>
          <w:color w:val="000000"/>
          <w:sz w:val="22"/>
        </w:rPr>
        <w:t xml:space="preserve"> or subrule </w:t>
      </w:r>
      <w:hyperlink r:id="rId126">
        <w:r>
          <w:rPr>
            <w:rStyle w:val="Hyperlink"/>
            <w:rFonts w:ascii="Times New Roman" w:hAnsi="Times New Roman"/>
            <w:b w:val="false"/>
            <w:i w:val="false"/>
            <w:color w:val="000000"/>
            <w:sz w:val="22"/>
          </w:rPr>
          <w:t>4.32(2)</w:t>
        </w:r>
      </w:hyperlink>
      <w:r>
        <w:rPr>
          <w:rFonts w:ascii="Times New Roman" w:hAnsi="Times New Roman"/>
          <w:b w:val="false"/>
          <w:i w:val="false"/>
          <w:color w:val="000000"/>
          <w:sz w:val="22"/>
        </w:rPr>
        <w:t>. For purposes of this rule, “out-of-state committee” means a committee that is registered with the campaign enforcement agency of another state or is registered with the Federal Election Commission. For purposes of this rule, “contribution” does not include an item purchased at fair market value from an Iowa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4.32(1)</w:t>
      </w:r>
      <w:r>
        <w:rPr>
          <w:rFonts w:ascii="Times New Roman" w:hAnsi="Times New Roman"/>
          <w:b w:val="false"/>
          <w:i w:val="false"/>
          <w:color w:val="000000"/>
          <w:sz w:val="22"/>
        </w:rPr>
        <w:t> </w:t>
      </w:r>
      <w:r>
        <w:rPr>
          <w:rFonts w:ascii="Times New Roman" w:hAnsi="Times New Roman"/>
          <w:b w:val="false"/>
          <w:i/>
          <w:color w:val="000000"/>
          <w:sz w:val="22"/>
        </w:rPr>
        <w:t xml:space="preserve">Regular filings. </w:t>
      </w:r>
      <w:r>
        <w:rPr>
          <w:rFonts w:ascii="Times New Roman" w:hAnsi="Times New Roman"/>
          <w:b w:val="false"/>
          <w:i w:val="false"/>
          <w:color w:val="000000"/>
          <w:sz w:val="22"/>
        </w:rPr>
        <w:t xml:space="preserve">Out-of-state committees may choose to comply with the regular disclosure filing requirements in Iowa Code Supplement sections </w:t>
      </w:r>
      <w:hyperlink r:id="rId127">
        <w:r>
          <w:rPr>
            <w:rStyle w:val="Hyperlink"/>
            <w:rFonts w:ascii="Times New Roman" w:hAnsi="Times New Roman"/>
            <w:b w:val="false"/>
            <w:i w:val="false"/>
            <w:color w:val="000000"/>
            <w:sz w:val="22"/>
          </w:rPr>
          <w:t>68A.201</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 xml:space="preserve"> by filing a statement of organization and periodic disclosure reports.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4.32(2)</w:t>
      </w:r>
      <w:r>
        <w:rPr>
          <w:rFonts w:ascii="Times New Roman" w:hAnsi="Times New Roman"/>
          <w:b w:val="false"/>
          <w:i w:val="false"/>
          <w:color w:val="000000"/>
          <w:sz w:val="22"/>
        </w:rPr>
        <w:t> </w:t>
      </w:r>
      <w:r>
        <w:rPr>
          <w:rFonts w:ascii="Times New Roman" w:hAnsi="Times New Roman"/>
          <w:b w:val="false"/>
          <w:i/>
          <w:color w:val="000000"/>
          <w:sz w:val="22"/>
        </w:rPr>
        <w:t xml:space="preserve">Verified statement of registration. </w:t>
      </w:r>
      <w:r>
        <w:rPr>
          <w:rFonts w:ascii="Times New Roman" w:hAnsi="Times New Roman"/>
          <w:b w:val="false"/>
          <w:i w:val="false"/>
          <w:color w:val="000000"/>
          <w:sz w:val="22"/>
        </w:rPr>
        <w:t xml:space="preserve">In lieu of filing a statement of organization and regular disclosure reports as required by Iowa Code chapter </w:t>
      </w:r>
      <w:hyperlink r:id="rId129">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the out-of-state committee shall file with the board a verified statement registration form (VSR) for each contribution in excess of $50. The VSR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complete name, address and telephone number of the out-of-state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or federal agency with which the out-of-state committee is registered;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parent entities or other affiliates or sponsors of the out-of-state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purpose of the out-of-state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 Iowa resident authorized to receive service on behalf of the out-of-state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Iowa recipient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date and amount of the contribution, including description if the contribution is in-kind;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An attested statement that the jurisdiction with which the out-of-state committee is registered has reporting requirements substantially similar to those of Iowa Code chapter </w:t>
      </w:r>
      <w:hyperlink r:id="rId130">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The statement shall include confirmation that the contribution is made from an account that does not accept contributions prohibited by Iowa Code section </w:t>
      </w:r>
      <w:hyperlink r:id="rId131">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 xml:space="preserve"> unless the contribution from the out-of-state committee is made to an Iowa ballot issue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4.32(3)</w:t>
      </w:r>
      <w:r>
        <w:rPr>
          <w:rFonts w:ascii="Times New Roman" w:hAnsi="Times New Roman"/>
          <w:b w:val="false"/>
          <w:i w:val="false"/>
          <w:color w:val="000000"/>
          <w:sz w:val="22"/>
        </w:rPr>
        <w:t> </w:t>
      </w:r>
      <w:r>
        <w:rPr>
          <w:rFonts w:ascii="Times New Roman" w:hAnsi="Times New Roman"/>
          <w:b w:val="false"/>
          <w:i/>
          <w:color w:val="000000"/>
          <w:sz w:val="22"/>
        </w:rPr>
        <w:t xml:space="preserve">Where filed. </w:t>
      </w:r>
      <w:r>
        <w:rPr>
          <w:rFonts w:ascii="Times New Roman" w:hAnsi="Times New Roman"/>
          <w:b w:val="false"/>
          <w:i w:val="false"/>
          <w:color w:val="000000"/>
          <w:sz w:val="22"/>
        </w:rPr>
        <w:t xml:space="preserve">Every VSR filed for a contribution in excess of $50 shall be filed electronically using the board’s website at </w:t>
      </w:r>
      <w:hyperlink r:id="rId132">
        <w:r>
          <w:rPr>
            <w:rStyle w:val="Hyperlink"/>
            <w:rFonts w:ascii="Times New Roman" w:hAnsi="Times New Roman"/>
            <w:b w:val="false"/>
            <w:i w:val="false"/>
            <w:color w:val="000000"/>
            <w:sz w:val="22"/>
            <w:u w:val="single"/>
          </w:rPr>
          <w:t>ethics.iowa.gov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4.32(4)</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The VSR shall be filed with the board on or before the fifteenth day after the date of the contribution. For purposes of this subrule, “date of the contribution” means the day, month, and year the contribution check is dated. If the board deems it necessary, a copy of any contribution check may be required to be filed with the board. When a copy of a check is required to be filed with the board, the copy shall be filed within ten days after notice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4.32(5)</w:t>
      </w:r>
      <w:r>
        <w:rPr>
          <w:rFonts w:ascii="Times New Roman" w:hAnsi="Times New Roman"/>
          <w:b w:val="false"/>
          <w:i w:val="false"/>
          <w:color w:val="000000"/>
          <w:sz w:val="22"/>
        </w:rPr>
        <w:t> </w:t>
      </w:r>
      <w:r>
        <w:rPr>
          <w:rFonts w:ascii="Times New Roman" w:hAnsi="Times New Roman"/>
          <w:b w:val="false"/>
          <w:i/>
          <w:color w:val="000000"/>
          <w:sz w:val="22"/>
        </w:rPr>
        <w:t xml:space="preserve">Enhanced filing. </w:t>
      </w:r>
      <w:r>
        <w:rPr>
          <w:rFonts w:ascii="Times New Roman" w:hAnsi="Times New Roman"/>
          <w:b w:val="false"/>
          <w:i w:val="false"/>
          <w:color w:val="000000"/>
          <w:sz w:val="22"/>
        </w:rPr>
        <w:t xml:space="preserve">An out-of-state committee determining that the jurisdiction under which the committee is registered does not have reporting requirements substantially similar to those of Iowa Code chapter </w:t>
      </w:r>
      <w:hyperlink r:id="rId133">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may choose to comply by enhancing the committee’s filing in the other jurisdiction. The enhanced filing shall meet the reporting requirements of Iowa Code chapter </w:t>
      </w:r>
      <w:hyperlink r:id="rId134">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for the reporting period during which contributions to Iowa committees are made. The report shall cover a period of at least one month. An out-of-state committee choosing this option shall comply with the VSR procedures in subrule </w:t>
      </w:r>
      <w:hyperlink r:id="rId135">
        <w:r>
          <w:rPr>
            <w:rStyle w:val="Hyperlink"/>
            <w:rFonts w:ascii="Times New Roman" w:hAnsi="Times New Roman"/>
            <w:b w:val="false"/>
            <w:i w:val="false"/>
            <w:color w:val="000000"/>
            <w:sz w:val="22"/>
          </w:rPr>
          <w:t>4.32(2)</w:t>
        </w:r>
      </w:hyperlink>
      <w:r>
        <w:rPr>
          <w:rFonts w:ascii="Times New Roman" w:hAnsi="Times New Roman"/>
          <w:b w:val="false"/>
          <w:i w:val="false"/>
          <w:color w:val="000000"/>
          <w:sz w:val="22"/>
        </w:rPr>
        <w:t xml:space="preserve"> and affirm that the report has been enhanced to satisfy the Iowa reporting requirements.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6">
        <w:r>
          <w:rPr>
            <w:rStyle w:val="Hyperlink"/>
            <w:rFonts w:ascii="Times New Roman" w:hAnsi="Times New Roman"/>
            <w:b w:val="false"/>
            <w:i w:val="false"/>
            <w:color w:val="000000"/>
            <w:sz w:val="22"/>
          </w:rPr>
          <w:t>68A.201A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8286B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351—4.33</w:t>
      </w:r>
      <w:r>
        <w:rPr>
          <w:rFonts w:ascii="Times New Roman" w:hAnsi="Times New Roman"/>
          <w:b/>
          <w:i w:val="false"/>
          <w:color w:val="000000"/>
          <w:sz w:val="22"/>
        </w:rPr>
        <w:t xml:space="preserve">(68A) </w:t>
      </w:r>
      <w:r>
        <w:rPr>
          <w:rFonts w:ascii="Times New Roman" w:hAnsi="Times New Roman"/>
          <w:b/>
          <w:i w:val="false"/>
          <w:color w:val="000000"/>
          <w:sz w:val="22"/>
        </w:rPr>
        <w:t xml:space="preserve">Reporting of earmarked contributions. </w:t>
      </w:r>
      <w:r>
        <w:rPr>
          <w:rFonts w:ascii="Times New Roman" w:hAnsi="Times New Roman"/>
          <w:b w:val="false"/>
          <w:i w:val="false"/>
          <w:color w:val="000000"/>
          <w:sz w:val="22"/>
        </w:rPr>
        <w:t>A political committee or a political party committee is permitted to receive a contribution that is earmarked to be donated to another committee. A political committee or political party committee receiving and transferring an earmarked contribution is required to list on its disclosure report the name of the contributor and the name of the candidate or committee for which the contribution was earmarked. The political committee or political party committee shall notify the recipient committee in writing of the name of the individual contributor and the name of the committee that originally received the contribution. The committee ultimately receiving the earmarked contribution shall disclose on its disclosure report both the name of the individual contributor and the name of the committee that originally received and then transferred the earmarked contribution. A ballot issue committee is not permitted to transfer earmarked contributions except to another ballot issue committee.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7">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8788B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351—4.34</w:t>
      </w:r>
      <w:r>
        <w:rPr>
          <w:rFonts w:ascii="Times New Roman" w:hAnsi="Times New Roman"/>
          <w:b/>
          <w:i w:val="false"/>
          <w:color w:val="000000"/>
          <w:sz w:val="22"/>
        </w:rPr>
        <w:t xml:space="preserve">(68A) </w:t>
      </w:r>
      <w:r>
        <w:rPr>
          <w:rFonts w:ascii="Times New Roman" w:hAnsi="Times New Roman"/>
          <w:b/>
          <w:i w:val="false"/>
          <w:color w:val="000000"/>
          <w:sz w:val="22"/>
        </w:rPr>
        <w:t xml:space="preserve">Copies of reports filed by 527 Committees. </w:t>
      </w:r>
      <w:r>
        <w:rPr>
          <w:rFonts w:ascii="Times New Roman" w:hAnsi="Times New Roman"/>
          <w:b w:val="false"/>
          <w:i w:val="false"/>
          <w:color w:val="000000"/>
          <w:sz w:val="22"/>
        </w:rPr>
        <w:t xml:space="preserve">Iowa Code section </w:t>
      </w:r>
      <w:hyperlink r:id="rId138">
        <w:r>
          <w:rPr>
            <w:rStyle w:val="Hyperlink"/>
            <w:rFonts w:ascii="Times New Roman" w:hAnsi="Times New Roman"/>
            <w:b w:val="false"/>
            <w:i w:val="false"/>
            <w:color w:val="000000"/>
            <w:sz w:val="22"/>
          </w:rPr>
          <w:t>68A.401A</w:t>
        </w:r>
      </w:hyperlink>
      <w:r>
        <w:rPr>
          <w:rFonts w:ascii="Times New Roman" w:hAnsi="Times New Roman"/>
          <w:b w:val="false"/>
          <w:i w:val="false"/>
          <w:color w:val="000000"/>
          <w:sz w:val="22"/>
        </w:rPr>
        <w:t xml:space="preserve"> requires the board to adopt a procedure for 527 Committees that file reports with the Internal Revenue Service and engage in issue advocacy in Iowa to file copies of those reports with the board. If a 527 Committee notifies the board that it is filing reports with the Internal Revenue Service, the 527 Committee will be deemed in compliance with Iowa Code section </w:t>
      </w:r>
      <w:hyperlink r:id="rId139">
        <w:r>
          <w:rPr>
            <w:rStyle w:val="Hyperlink"/>
            <w:rFonts w:ascii="Times New Roman" w:hAnsi="Times New Roman"/>
            <w:b w:val="false"/>
            <w:i w:val="false"/>
            <w:color w:val="000000"/>
            <w:sz w:val="22"/>
          </w:rPr>
          <w:t>68A.401A</w:t>
        </w:r>
      </w:hyperlink>
      <w:r>
        <w:rPr>
          <w:rFonts w:ascii="Times New Roman" w:hAnsi="Times New Roman"/>
          <w:b w:val="false"/>
          <w:i w:val="false"/>
          <w:color w:val="000000"/>
          <w:sz w:val="22"/>
        </w:rPr>
        <w:t>. The board will then establish on its Web site a link to the reports filed with the Internal Revenue Service, or the board will otherwise post on its Web site the reports filed with the Internal Revenue Service.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0">
        <w:r>
          <w:rPr>
            <w:rStyle w:val="Hyperlink"/>
            <w:rFonts w:ascii="Times New Roman" w:hAnsi="Times New Roman"/>
            <w:b w:val="false"/>
            <w:i w:val="false"/>
            <w:color w:val="000000"/>
            <w:sz w:val="22"/>
          </w:rPr>
          <w:t>68A.401A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351—4.35</w:t>
      </w:r>
      <w:r>
        <w:rPr>
          <w:rFonts w:ascii="Times New Roman" w:hAnsi="Times New Roman"/>
          <w:b/>
          <w:i w:val="false"/>
          <w:color w:val="000000"/>
          <w:sz w:val="22"/>
        </w:rPr>
        <w:t xml:space="preserve">(68A) </w:t>
      </w:r>
      <w:r>
        <w:rPr>
          <w:rFonts w:ascii="Times New Roman" w:hAnsi="Times New Roman"/>
          <w:b/>
          <w:i w:val="false"/>
          <w:color w:val="000000"/>
          <w:sz w:val="22"/>
        </w:rPr>
        <w:t xml:space="preserve">Permanent organizations forming temporary political committees; one-time contributor filing Form DR-OTC. </w:t>
      </w:r>
      <w:r>
        <w:rPr>
          <w:rFonts w:ascii="Times New Roman" w:hAnsi="Times New Roman"/>
          <w:b w:val="false"/>
          <w:i w:val="false"/>
          <w:color w:val="000000"/>
          <w:sz w:val="22"/>
        </w:rPr>
        <w:t xml:space="preserve">Pursuant to Iowa Code section </w:t>
      </w:r>
      <w:hyperlink r:id="rId141">
        <w:r>
          <w:rPr>
            <w:rStyle w:val="Hyperlink"/>
            <w:rFonts w:ascii="Times New Roman" w:hAnsi="Times New Roman"/>
            <w:b w:val="false"/>
            <w:i w:val="false"/>
            <w:color w:val="000000"/>
            <w:sz w:val="22"/>
          </w:rPr>
          <w:t>68A.402(9)</w:t>
        </w:r>
      </w:hyperlink>
      <w:r>
        <w:rPr>
          <w:rFonts w:ascii="Times New Roman" w:hAnsi="Times New Roman"/>
          <w:b w:val="false"/>
          <w:i w:val="false"/>
          <w:color w:val="000000"/>
          <w:sz w:val="22"/>
        </w:rPr>
        <w:t xml:space="preserve">, a permanent organization temporarily engaging in activity that exceeds the $1,000 financial filing threshold described in rule </w:t>
      </w:r>
      <w:hyperlink r:id="rId142">
        <w:r>
          <w:rPr>
            <w:rStyle w:val="Hyperlink"/>
            <w:rFonts w:ascii="Times New Roman" w:hAnsi="Times New Roman"/>
            <w:b w:val="false"/>
            <w:i w:val="false"/>
            <w:color w:val="000000"/>
            <w:sz w:val="22"/>
          </w:rPr>
          <w:t>351—4.1</w:t>
        </w:r>
      </w:hyperlink>
      <w:r>
        <w:rPr>
          <w:rFonts w:ascii="Times New Roman" w:hAnsi="Times New Roman"/>
          <w:b w:val="false"/>
          <w:i w:val="false"/>
          <w:color w:val="000000"/>
          <w:sz w:val="22"/>
        </w:rPr>
        <w:t xml:space="preserve">(68A,68B) is required to organize and register a political committee (PAC), file disclosure reports, and, upon completion of activity, file a notice of dissolution. A permanent organization that is temporarily a political committee shall comply with all of the campaign laws in Iowa Code chapter </w:t>
      </w:r>
      <w:hyperlink r:id="rId143">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and this chapter. A permanent organization that makes loans to a candidate or committee or that is owed debts from a candidate or committee is not deemed to be engaging in political activity requiring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w:t>
      </w:r>
      <w:r>
        <w:rPr>
          <w:rFonts w:ascii="Times New Roman" w:hAnsi="Times New Roman"/>
          <w:b w:val="false"/>
          <w:i w:val="false"/>
          <w:color w:val="000000"/>
          <w:sz w:val="22"/>
        </w:rPr>
        <w:t> </w:t>
      </w:r>
      <w:r>
        <w:rPr>
          <w:rFonts w:ascii="Times New Roman" w:hAnsi="Times New Roman"/>
          <w:b w:val="false"/>
          <w:i/>
          <w:color w:val="000000"/>
          <w:sz w:val="22"/>
        </w:rPr>
        <w:t xml:space="preserve">Form DR-OTC. </w:t>
      </w:r>
      <w:r>
        <w:rPr>
          <w:rFonts w:ascii="Times New Roman" w:hAnsi="Times New Roman"/>
          <w:b w:val="false"/>
          <w:i w:val="false"/>
          <w:color w:val="000000"/>
          <w:sz w:val="22"/>
        </w:rPr>
        <w:t>A permanent organization that makes a one-time contribution in excess of $1,000 to a committee may, in lieu of filing a statement of organization, disclosure reports, and a notice of dissolution, file Form DR-OTC. The following information shall be disclosed on Form DR-OTC: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organization making the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a contact person for the organization making the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campaign committee receiving the contribution. If the contribution is to a candidate or a candidate’s committee, the source of the original funds used to make the contribution shall be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date and amount of the contribution. If the contribution is an in-kind contribution, a description of the provided goods or services must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date of election and the county in which the recipient committee is located if the committee is a county or local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and signature of the person filing Form DR-OTC. A Form DR-OTC that is filed electronically using the board’s Web site is deemed signed when filed.</w:t>
      </w:r>
    </w:p>
    <w:p>
      <w:pPr>
        <w:spacing w:before="0" w:after="0"/>
        <w:ind w:left="120"/>
        <w:jc w:val="both"/>
      </w:pPr>
      <w:r>
        <w:rPr>
          <w:rFonts w:ascii="Times New Roman" w:hAnsi="Times New Roman"/>
          <w:b w:val="false"/>
          <w:i w:val="false"/>
          <w:color w:val="000000"/>
          <w:sz w:val="22"/>
        </w:rPr>
        <w:t>A permanent organization that makes more than one contribution is not eligible to file Form DR-OTC and is required to file a statement of organization, file disclosure reports, and file a notice of dissolution.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w:t>
      </w:r>
      <w:r>
        <w:rPr>
          <w:rFonts w:ascii="Times New Roman" w:hAnsi="Times New Roman"/>
          <w:b w:val="false"/>
          <w:i w:val="false"/>
          <w:color w:val="000000"/>
          <w:sz w:val="22"/>
        </w:rPr>
        <w:t> </w:t>
      </w:r>
      <w:r>
        <w:rPr>
          <w:rFonts w:ascii="Times New Roman" w:hAnsi="Times New Roman"/>
          <w:b w:val="false"/>
          <w:i/>
          <w:color w:val="000000"/>
          <w:sz w:val="22"/>
        </w:rPr>
        <w:t xml:space="preserve">Place of filing. </w:t>
      </w:r>
      <w:r>
        <w:rPr>
          <w:rFonts w:ascii="Times New Roman" w:hAnsi="Times New Roman"/>
          <w:b w:val="false"/>
          <w:i w:val="false"/>
          <w:color w:val="000000"/>
          <w:sz w:val="22"/>
        </w:rPr>
        <w:t xml:space="preserve">Form DR-OTC shall be filed electronically using the board’s website at </w:t>
      </w:r>
      <w:hyperlink r:id="rId144">
        <w:r>
          <w:rPr>
            <w:rStyle w:val="Hyperlink"/>
            <w:rFonts w:ascii="Times New Roman" w:hAnsi="Times New Roman"/>
            <w:b w:val="false"/>
            <w:i w:val="false"/>
            <w:color w:val="000000"/>
            <w:sz w:val="22"/>
            <w:u w:val="single"/>
          </w:rPr>
          <w:t>ethics.iowa.gov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Form DR-OTC shall be filed with the board within ten days after the one-time contribution in excess of $1,000 is made. The form must be submitted on or before 11:59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of the tenth day after the organization of the committee is required. If the tenth day falls on a Saturday, Sunday, or holiday on which the board office is closed, the filing deadline is extended to the next working day when the board office is open.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4.35(4)</w:t>
      </w:r>
      <w:r>
        <w:rPr>
          <w:rFonts w:ascii="Times New Roman" w:hAnsi="Times New Roman"/>
          <w:b w:val="false"/>
          <w:i w:val="false"/>
          <w:color w:val="000000"/>
          <w:sz w:val="22"/>
        </w:rPr>
        <w:t> </w:t>
      </w:r>
      <w:r>
        <w:rPr>
          <w:rFonts w:ascii="Times New Roman" w:hAnsi="Times New Roman"/>
          <w:b w:val="false"/>
          <w:i/>
          <w:color w:val="000000"/>
          <w:sz w:val="22"/>
        </w:rPr>
        <w:t xml:space="preserve">Failure to register. </w:t>
      </w:r>
      <w:r>
        <w:rPr>
          <w:rFonts w:ascii="Times New Roman" w:hAnsi="Times New Roman"/>
          <w:b w:val="false"/>
          <w:i w:val="false"/>
          <w:color w:val="000000"/>
          <w:sz w:val="22"/>
        </w:rPr>
        <w:t xml:space="preserve">If the board discovers that a permanent organization has become subject to the provisions of Iowa Code Supplement chapter </w:t>
      </w:r>
      <w:hyperlink r:id="rId145">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but did not timely file a statement of organization or file Form DR-OTC, as applicable, the permanent organization is subject to the possible imposition of board sanctions.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4.35(5)</w:t>
      </w:r>
      <w:r>
        <w:rPr>
          <w:rFonts w:ascii="Times New Roman" w:hAnsi="Times New Roman"/>
          <w:b w:val="false"/>
          <w:i w:val="false"/>
          <w:color w:val="000000"/>
          <w:sz w:val="22"/>
        </w:rPr>
        <w:t> </w:t>
      </w:r>
      <w:r>
        <w:rPr>
          <w:rFonts w:ascii="Times New Roman" w:hAnsi="Times New Roman"/>
          <w:b w:val="false"/>
          <w:i/>
          <w:color w:val="000000"/>
          <w:sz w:val="22"/>
        </w:rPr>
        <w:t xml:space="preserve">Partial refund of contribution. </w:t>
      </w:r>
      <w:r>
        <w:rPr>
          <w:rFonts w:ascii="Times New Roman" w:hAnsi="Times New Roman"/>
          <w:b w:val="false"/>
          <w:i w:val="false"/>
          <w:color w:val="000000"/>
          <w:sz w:val="22"/>
        </w:rPr>
        <w:t xml:space="preserve">A committee that receives a contribution from a permanent organization that causes the organization to become subject to the provisions of Iowa Code chapter </w:t>
      </w:r>
      <w:hyperlink r:id="rId146">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may refund all or part of a contribution to the organization so as to reduce the contribution to $1,000 or less and remove the organization’s filing obligations.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7">
        <w:r>
          <w:rPr>
            <w:rStyle w:val="Hyperlink"/>
            <w:rFonts w:ascii="Times New Roman" w:hAnsi="Times New Roman"/>
            <w:b w:val="false"/>
            <w:i w:val="false"/>
            <w:color w:val="000000"/>
            <w:sz w:val="22"/>
          </w:rPr>
          <w:t>68A.102(18)</w:t>
        </w:r>
      </w:hyperlink>
      <w:r>
        <w:rPr>
          <w:rFonts w:ascii="Times New Roman" w:hAnsi="Times New Roman"/>
          <w:b w:val="false"/>
          <w:i w:val="false"/>
          <w:color w:val="000000"/>
          <w:sz w:val="22"/>
        </w:rPr>
        <w:t xml:space="preserve"> and </w:t>
      </w:r>
      <w:hyperlink r:id="rId148">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351—4.36</w:t>
      </w:r>
      <w:r>
        <w:rPr>
          <w:rFonts w:ascii="Times New Roman" w:hAnsi="Times New Roman"/>
          <w:b/>
          <w:i w:val="false"/>
          <w:color w:val="000000"/>
          <w:sz w:val="22"/>
        </w:rPr>
        <w:t xml:space="preserve">(68A) </w:t>
      </w:r>
      <w:r>
        <w:rPr>
          <w:rFonts w:ascii="Times New Roman" w:hAnsi="Times New Roman"/>
          <w:b/>
          <w:i w:val="false"/>
          <w:color w:val="000000"/>
          <w:sz w:val="22"/>
        </w:rPr>
        <w:t xml:space="preserve">Cash transactions. </w:t>
      </w:r>
      <w:r>
        <w:rPr>
          <w:rFonts w:ascii="Times New Roman" w:hAnsi="Times New Roman"/>
          <w:b w:val="false"/>
          <w:i w:val="false"/>
          <w:color w:val="000000"/>
          <w:sz w:val="22"/>
        </w:rPr>
        <w:t>All disbursements, including all expenditures and any other withdrawals from committee funds, shall be by check, debit card, or credit card. Cash withdrawals and “petty cash” accounts are not permitted. If a committee fundraising activity necessitates a cash drawer for making change or other cash transactions, the committee may issue a check payable to the committee treasurer or the candidate, in the case of a candidate’s committee, or payable to the committee treasurer or the committee chairperson, in the case of a political committee. The purpose of the expenditure shall be reported on Schedule B as “cash advance for (describe activity, e.g., concession stand cash drawer).” Upon completion of the fundraising activity, the committee shall redeposit the same amount as that which was advanced into the committee account. The redeposit shall be reported as a reverse entry on Schedule B as a “redeposit of cash advance for (describe activity).” The proceeds of the fundraising activity (excluding the cash advance) shall be reported on Schedule A - Contributions Received.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49">
        <w:r>
          <w:rPr>
            <w:rStyle w:val="Hyperlink"/>
            <w:rFonts w:ascii="Times New Roman" w:hAnsi="Times New Roman"/>
            <w:b w:val="false"/>
            <w:i w:val="false"/>
            <w:color w:val="000000"/>
            <w:sz w:val="22"/>
          </w:rPr>
          <w:t>68A.203</w:t>
        </w:r>
      </w:hyperlink>
      <w:r>
        <w:rPr>
          <w:rFonts w:ascii="Times New Roman" w:hAnsi="Times New Roman"/>
          <w:b w:val="false"/>
          <w:i w:val="false"/>
          <w:color w:val="000000"/>
          <w:sz w:val="22"/>
        </w:rPr>
        <w:t xml:space="preserve"> and </w:t>
      </w:r>
      <w:hyperlink r:id="rId150">
        <w:r>
          <w:rPr>
            <w:rStyle w:val="Hyperlink"/>
            <w:rFonts w:ascii="Times New Roman" w:hAnsi="Times New Roman"/>
            <w:b w:val="false"/>
            <w:i w:val="false"/>
            <w:color w:val="000000"/>
            <w:sz w:val="22"/>
          </w:rPr>
          <w:t>68A.402A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351—4.37</w:t>
      </w:r>
      <w:r>
        <w:rPr>
          <w:rFonts w:ascii="Times New Roman" w:hAnsi="Times New Roman"/>
          <w:b/>
          <w:i w:val="false"/>
          <w:color w:val="000000"/>
          <w:sz w:val="22"/>
        </w:rPr>
        <w:t xml:space="preserve">(68A,68B) </w:t>
      </w:r>
      <w:r>
        <w:rPr>
          <w:rFonts w:ascii="Times New Roman" w:hAnsi="Times New Roman"/>
          <w:b/>
          <w:i w:val="false"/>
          <w:color w:val="000000"/>
          <w:sz w:val="22"/>
        </w:rPr>
        <w:t xml:space="preserve">Record keeping.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4.37(1)</w:t>
      </w:r>
      <w:r>
        <w:rPr>
          <w:rFonts w:ascii="Times New Roman" w:hAnsi="Times New Roman"/>
          <w:b w:val="false"/>
          <w:i w:val="false"/>
          <w:color w:val="000000"/>
          <w:sz w:val="22"/>
        </w:rPr>
        <w:t> </w:t>
      </w:r>
      <w:r>
        <w:rPr>
          <w:rFonts w:ascii="Times New Roman" w:hAnsi="Times New Roman"/>
          <w:b w:val="false"/>
          <w:i/>
          <w:color w:val="000000"/>
          <w:sz w:val="22"/>
        </w:rPr>
        <w:t xml:space="preserve">Copies of reports. </w:t>
      </w:r>
      <w:r>
        <w:rPr>
          <w:rFonts w:ascii="Times New Roman" w:hAnsi="Times New Roman"/>
          <w:b w:val="false"/>
          <w:i w:val="false"/>
          <w:color w:val="000000"/>
          <w:sz w:val="22"/>
        </w:rPr>
        <w:t>A committee shall preserve a copy of every report it files for at least three years following the filing of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4.37(2)</w:t>
      </w:r>
      <w:r>
        <w:rPr>
          <w:rFonts w:ascii="Times New Roman" w:hAnsi="Times New Roman"/>
          <w:b w:val="false"/>
          <w:i w:val="false"/>
          <w:color w:val="000000"/>
          <w:sz w:val="22"/>
        </w:rPr>
        <w:t> </w:t>
      </w:r>
      <w:r>
        <w:rPr>
          <w:rFonts w:ascii="Times New Roman" w:hAnsi="Times New Roman"/>
          <w:b w:val="false"/>
          <w:i/>
          <w:color w:val="000000"/>
          <w:sz w:val="22"/>
        </w:rPr>
        <w:t xml:space="preserve">Supporting documentation. </w:t>
      </w:r>
      <w:r>
        <w:rPr>
          <w:rFonts w:ascii="Times New Roman" w:hAnsi="Times New Roman"/>
          <w:b w:val="false"/>
          <w:i w:val="false"/>
          <w:color w:val="000000"/>
          <w:sz w:val="22"/>
        </w:rPr>
        <w:t>The documentation which supports a committee’s disclosure report shall be preserved by the committee for at least five years after the due date of the report that covers the activity documented in the records; however, a committee is not required to preserve these records for more than three years from the certified date of dissolution of the committee. At a minimum, the supporting documentation shall consist of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ledger or similar record-keeping device which details all contributions received by the committee. This record shall include the name and address of each person making a contribution in excess of $25, with the date and amount of the contribution. In lieu of or in addition to a ledger, the committee may record contributions received through a receipt book or other method of individually documenting the contributions, such as by making and keeping copies of the contribution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check register for the committee’s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Bank statements for the committee’s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Copies of canceled or duplicate checks for committee expenditures, if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Copies of bills or receipts for committee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For committees which pay reimbursement for committee-related mileage, copies of vehicle mileage logs, including travel dates, distance driven, and travel purpose (description of event or activity). For a candidate’s committee which leases a vehicle, the mileage log shall detail all mileage driven on the vehicle, including non-committee-related mileage.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4.37(3)</w:t>
      </w:r>
      <w:r>
        <w:rPr>
          <w:rFonts w:ascii="Times New Roman" w:hAnsi="Times New Roman"/>
          <w:b w:val="false"/>
          <w:i w:val="false"/>
          <w:color w:val="000000"/>
          <w:sz w:val="22"/>
        </w:rPr>
        <w:t> </w:t>
      </w:r>
      <w:r>
        <w:rPr>
          <w:rFonts w:ascii="Times New Roman" w:hAnsi="Times New Roman"/>
          <w:b w:val="false"/>
          <w:i/>
          <w:color w:val="000000"/>
          <w:sz w:val="22"/>
        </w:rPr>
        <w:t xml:space="preserve">Records forwarded. </w:t>
      </w:r>
      <w:r>
        <w:rPr>
          <w:rFonts w:ascii="Times New Roman" w:hAnsi="Times New Roman"/>
          <w:b w:val="false"/>
          <w:i w:val="false"/>
          <w:color w:val="000000"/>
          <w:sz w:val="22"/>
        </w:rPr>
        <w:t>An officer of a committee who is replaced by another officer shall forward within seven days any committee records to the subsequently appointed or elected committee officer. The board may grant an extension of time for good cause. The failure to forward records pursuant to this subrule may subject the former officer to board sanctions.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1">
        <w:r>
          <w:rPr>
            <w:rStyle w:val="Hyperlink"/>
            <w:rFonts w:ascii="Times New Roman" w:hAnsi="Times New Roman"/>
            <w:b w:val="false"/>
            <w:i w:val="false"/>
            <w:color w:val="000000"/>
            <w:sz w:val="22"/>
          </w:rPr>
          <w:t>68A.203</w:t>
        </w:r>
      </w:hyperlink>
      <w:r>
        <w:rPr>
          <w:rFonts w:ascii="Times New Roman" w:hAnsi="Times New Roman"/>
          <w:b w:val="false"/>
          <w:i w:val="false"/>
          <w:color w:val="000000"/>
          <w:sz w:val="22"/>
        </w:rPr>
        <w:t xml:space="preserve">, </w:t>
      </w:r>
      <w:hyperlink r:id="rId152">
        <w:r>
          <w:rPr>
            <w:rStyle w:val="Hyperlink"/>
            <w:rFonts w:ascii="Times New Roman" w:hAnsi="Times New Roman"/>
            <w:b w:val="false"/>
            <w:i w:val="false"/>
            <w:color w:val="000000"/>
            <w:sz w:val="22"/>
          </w:rPr>
          <w:t>68A.302</w:t>
        </w:r>
      </w:hyperlink>
      <w:r>
        <w:rPr>
          <w:rFonts w:ascii="Times New Roman" w:hAnsi="Times New Roman"/>
          <w:b w:val="false"/>
          <w:i w:val="false"/>
          <w:color w:val="000000"/>
          <w:sz w:val="22"/>
        </w:rPr>
        <w:t xml:space="preserve">, </w:t>
      </w:r>
      <w:hyperlink r:id="rId153">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 xml:space="preserve">, </w:t>
      </w:r>
      <w:hyperlink r:id="rId154">
        <w:r>
          <w:rPr>
            <w:rStyle w:val="Hyperlink"/>
            <w:rFonts w:ascii="Times New Roman" w:hAnsi="Times New Roman"/>
            <w:b w:val="false"/>
            <w:i w:val="false"/>
            <w:color w:val="000000"/>
            <w:sz w:val="22"/>
          </w:rPr>
          <w:t>68A.403</w:t>
        </w:r>
      </w:hyperlink>
      <w:r>
        <w:rPr>
          <w:rFonts w:ascii="Times New Roman" w:hAnsi="Times New Roman"/>
          <w:b w:val="false"/>
          <w:i w:val="false"/>
          <w:color w:val="000000"/>
          <w:sz w:val="22"/>
        </w:rPr>
        <w:t xml:space="preserve"> and </w:t>
      </w:r>
      <w:hyperlink r:id="rId155">
        <w:r>
          <w:rPr>
            <w:rStyle w:val="Hyperlink"/>
            <w:rFonts w:ascii="Times New Roman" w:hAnsi="Times New Roman"/>
            <w:b w:val="false"/>
            <w:i w:val="false"/>
            <w:color w:val="000000"/>
            <w:sz w:val="22"/>
          </w:rPr>
          <w:t>68B.32A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7998B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POLITICAL MATERIAL—ATTRIBUTION STATEMENTS</w:t>
      </w:r>
    </w:p>
    <w:p>
      <w:pPr>
        <w:spacing w:before="0" w:after="0"/>
        <w:ind w:left="120"/>
        <w:jc w:val="both"/>
      </w:pPr>
      <w:r>
        <w:rPr>
          <w:rFonts w:ascii="Times New Roman" w:hAnsi="Times New Roman"/>
          <w:b/>
          <w:i w:val="false"/>
          <w:color w:val="000000"/>
          <w:sz w:val="22"/>
        </w:rPr>
        <w:t>351—4.38</w:t>
      </w:r>
      <w:r>
        <w:rPr>
          <w:rFonts w:ascii="Times New Roman" w:hAnsi="Times New Roman"/>
          <w:b/>
          <w:i w:val="false"/>
          <w:color w:val="000000"/>
          <w:sz w:val="22"/>
        </w:rPr>
        <w:t xml:space="preserve">(68A) </w:t>
      </w:r>
      <w:r>
        <w:rPr>
          <w:rFonts w:ascii="Times New Roman" w:hAnsi="Times New Roman"/>
          <w:b/>
          <w:i w:val="false"/>
          <w:color w:val="000000"/>
          <w:sz w:val="22"/>
        </w:rPr>
        <w:t xml:space="preserve">Political attribution statement—contents. </w:t>
      </w:r>
      <w:r>
        <w:rPr>
          <w:rFonts w:ascii="Times New Roman" w:hAnsi="Times New Roman"/>
          <w:b w:val="false"/>
          <w:i w:val="false"/>
          <w:color w:val="000000"/>
          <w:sz w:val="22"/>
        </w:rPr>
        <w:t>Published material that expressly advocates for or against a clearly identified candidate or ballot issue shall contain a statement identifying the person paying for the published material. This statement is referred to as the “attribution statement.” The term “published material” means any newspaper, magazine, shopper, outdoor advertising facility, poster, direct mailing, brochure, Internet website, television, video, or motion picture advertising, campaign sign larger than 32 square feet, or any other form of printed political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4.38(1)</w:t>
      </w:r>
      <w:r>
        <w:rPr>
          <w:rFonts w:ascii="Times New Roman" w:hAnsi="Times New Roman"/>
          <w:b w:val="false"/>
          <w:i w:val="false"/>
          <w:color w:val="000000"/>
          <w:sz w:val="22"/>
        </w:rPr>
        <w:t> </w:t>
      </w:r>
      <w:r>
        <w:rPr>
          <w:rFonts w:ascii="Times New Roman" w:hAnsi="Times New Roman"/>
          <w:b w:val="false"/>
          <w:i/>
          <w:color w:val="000000"/>
          <w:sz w:val="22"/>
        </w:rPr>
        <w:t xml:space="preserve">Registered committee. </w:t>
      </w:r>
      <w:r>
        <w:rPr>
          <w:rFonts w:ascii="Times New Roman" w:hAnsi="Times New Roman"/>
          <w:b w:val="false"/>
          <w:i w:val="false"/>
          <w:color w:val="000000"/>
          <w:sz w:val="22"/>
        </w:rPr>
        <w:t>If the person paying for the published material is a committee that has filed a statement of organization, the words “paid for by” and the name of the committee shall appear on the material. An “independent expenditure committee” is not a “registered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4.38(2)</w:t>
      </w:r>
      <w:r>
        <w:rPr>
          <w:rFonts w:ascii="Times New Roman" w:hAnsi="Times New Roman"/>
          <w:b w:val="false"/>
          <w:i w:val="false"/>
          <w:color w:val="000000"/>
          <w:sz w:val="22"/>
        </w:rPr>
        <w:t> </w:t>
      </w:r>
      <w:r>
        <w:rPr>
          <w:rFonts w:ascii="Times New Roman" w:hAnsi="Times New Roman"/>
          <w:b w:val="false"/>
          <w:i/>
          <w:color w:val="000000"/>
          <w:sz w:val="22"/>
        </w:rPr>
        <w:t xml:space="preserve">Individual, married couple, or unregistered candidate’s committee. </w:t>
      </w:r>
      <w:r>
        <w:rPr>
          <w:rFonts w:ascii="Times New Roman" w:hAnsi="Times New Roman"/>
          <w:b w:val="false"/>
          <w:i w:val="false"/>
          <w:color w:val="000000"/>
          <w:sz w:val="22"/>
        </w:rPr>
        <w:t>If the person paying for the published material is an individual, the words “paid for by” and the name and address of the individual shall appear on the material. Published material that is jointly paid for by a married couple shall include the words “paid for by” and the name and address of one member of the married couple. For purposes of this subrule, “individual” includes a candidate who has not filed a statement of organization to register a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4.38(3)</w:t>
      </w:r>
      <w:r>
        <w:rPr>
          <w:rFonts w:ascii="Times New Roman" w:hAnsi="Times New Roman"/>
          <w:b w:val="false"/>
          <w:i w:val="false"/>
          <w:color w:val="000000"/>
          <w:sz w:val="22"/>
        </w:rPr>
        <w:t> </w:t>
      </w:r>
      <w:r>
        <w:rPr>
          <w:rFonts w:ascii="Times New Roman" w:hAnsi="Times New Roman"/>
          <w:b w:val="false"/>
          <w:i/>
          <w:color w:val="000000"/>
          <w:sz w:val="22"/>
        </w:rPr>
        <w:t xml:space="preserve">Multiple individuals. </w:t>
      </w:r>
      <w:r>
        <w:rPr>
          <w:rFonts w:ascii="Times New Roman" w:hAnsi="Times New Roman"/>
          <w:b w:val="false"/>
          <w:i w:val="false"/>
          <w:color w:val="000000"/>
          <w:sz w:val="22"/>
        </w:rPr>
        <w:t>If more than one individual paid for the published material, the words “paid for by”, the names of the individuals, and either the addresses of the individuals or a statement that the addresses of the individuals are on file with the Iowa ethics and campaign disclosure board shall appear on the material. The addresses shall be provided to the board and made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4.38(4)</w:t>
      </w:r>
      <w:r>
        <w:rPr>
          <w:rFonts w:ascii="Times New Roman" w:hAnsi="Times New Roman"/>
          <w:b w:val="false"/>
          <w:i w:val="false"/>
          <w:color w:val="000000"/>
          <w:sz w:val="22"/>
        </w:rPr>
        <w:t> </w:t>
      </w:r>
      <w:r>
        <w:rPr>
          <w:rFonts w:ascii="Times New Roman" w:hAnsi="Times New Roman"/>
          <w:b w:val="false"/>
          <w:i/>
          <w:color w:val="000000"/>
          <w:sz w:val="22"/>
        </w:rPr>
        <w:t xml:space="preserve">Organization or unregistered political committee. </w:t>
      </w:r>
      <w:r>
        <w:rPr>
          <w:rFonts w:ascii="Times New Roman" w:hAnsi="Times New Roman"/>
          <w:b w:val="false"/>
          <w:i w:val="false"/>
          <w:color w:val="000000"/>
          <w:sz w:val="22"/>
        </w:rPr>
        <w:t>If the person paying for the published material is an organization, the words “paid for by”, the name and address of the organization, and the name of one officer of the organization shall appear on the material. For purposes of this subrule, “organization” includes an organization advocating the passage or defeat of a ballot issue but that has not filed a statement of organization to register a political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4.38(5)</w:t>
      </w:r>
      <w:r>
        <w:rPr>
          <w:rFonts w:ascii="Times New Roman" w:hAnsi="Times New Roman"/>
          <w:b w:val="false"/>
          <w:i w:val="false"/>
          <w:color w:val="000000"/>
          <w:sz w:val="22"/>
        </w:rPr>
        <w:t> </w:t>
      </w:r>
      <w:r>
        <w:rPr>
          <w:rFonts w:ascii="Times New Roman" w:hAnsi="Times New Roman"/>
          <w:b w:val="false"/>
          <w:i/>
          <w:color w:val="000000"/>
          <w:sz w:val="22"/>
        </w:rPr>
        <w:t xml:space="preserve">Pooled efforts. </w:t>
      </w:r>
      <w:r>
        <w:rPr>
          <w:rFonts w:ascii="Times New Roman" w:hAnsi="Times New Roman"/>
          <w:b w:val="false"/>
          <w:i w:val="false"/>
          <w:color w:val="000000"/>
          <w:sz w:val="22"/>
        </w:rPr>
        <w:t>If the published material is paid for by more than one person, the words “paid for by” and the identification of the persons as set out in this rule shall appear on the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4.38(6)</w:t>
      </w:r>
      <w:r>
        <w:rPr>
          <w:rFonts w:ascii="Times New Roman" w:hAnsi="Times New Roman"/>
          <w:b w:val="false"/>
          <w:i w:val="false"/>
          <w:color w:val="000000"/>
          <w:sz w:val="22"/>
        </w:rPr>
        <w:t> </w:t>
      </w:r>
      <w:r>
        <w:rPr>
          <w:rFonts w:ascii="Times New Roman" w:hAnsi="Times New Roman"/>
          <w:b w:val="false"/>
          <w:i/>
          <w:color w:val="000000"/>
          <w:sz w:val="22"/>
        </w:rPr>
        <w:t xml:space="preserve">Corporations. </w:t>
      </w:r>
      <w:r>
        <w:rPr>
          <w:rFonts w:ascii="Times New Roman" w:hAnsi="Times New Roman"/>
          <w:b w:val="false"/>
          <w:i w:val="false"/>
          <w:color w:val="000000"/>
          <w:sz w:val="22"/>
        </w:rPr>
        <w:t>If the person paying for the published material is a corporation, the words “paid for by”, the name and address of the corporation, and the name and title of the corporation’s chief executive officer shall appear on the material.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4.38(7)</w:t>
      </w:r>
      <w:r>
        <w:rPr>
          <w:rFonts w:ascii="Times New Roman" w:hAnsi="Times New Roman"/>
          <w:b w:val="false"/>
          <w:i w:val="false"/>
          <w:color w:val="000000"/>
          <w:sz w:val="22"/>
        </w:rPr>
        <w:t> </w:t>
      </w:r>
      <w:r>
        <w:rPr>
          <w:rFonts w:ascii="Times New Roman" w:hAnsi="Times New Roman"/>
          <w:b w:val="false"/>
          <w:i/>
          <w:color w:val="000000"/>
          <w:sz w:val="22"/>
        </w:rPr>
        <w:t xml:space="preserve">Independent expenditures. </w:t>
      </w:r>
      <w:r>
        <w:rPr>
          <w:rFonts w:ascii="Times New Roman" w:hAnsi="Times New Roman"/>
          <w:b w:val="false"/>
          <w:i w:val="false"/>
          <w:color w:val="000000"/>
          <w:sz w:val="22"/>
        </w:rPr>
        <w:t>A person, including a sole individual, making an independent expenditure shall provide the attribution statement according to the appropriate category under this rule. The attribution statement shall also include a statement that the published material was not authorized by any candidate, candidate’s committee, or ballot issue committee.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6">
        <w:r>
          <w:rPr>
            <w:rStyle w:val="Hyperlink"/>
            <w:rFonts w:ascii="Times New Roman" w:hAnsi="Times New Roman"/>
            <w:b w:val="false"/>
            <w:i w:val="false"/>
            <w:color w:val="000000"/>
            <w:sz w:val="22"/>
          </w:rPr>
          <w:t>68A.405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8826B</w:t>
      </w:r>
      <w:r>
        <w:rPr>
          <w:rFonts w:ascii="Times New Roman" w:hAnsi="Times New Roman"/>
          <w:b w:val="false"/>
          <w:i w:val="false"/>
          <w:color w:val="000000"/>
          <w:sz w:val="16"/>
        </w:rPr>
        <w:t>, IAB 6/2/10, effective 5/17/10</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351—4.39</w:t>
      </w:r>
      <w:r>
        <w:rPr>
          <w:rFonts w:ascii="Times New Roman" w:hAnsi="Times New Roman"/>
          <w:b/>
          <w:i w:val="false"/>
          <w:color w:val="000000"/>
          <w:sz w:val="22"/>
        </w:rPr>
        <w:t xml:space="preserve">(68A) </w:t>
      </w:r>
      <w:r>
        <w:rPr>
          <w:rFonts w:ascii="Times New Roman" w:hAnsi="Times New Roman"/>
          <w:b/>
          <w:i w:val="false"/>
          <w:color w:val="000000"/>
          <w:sz w:val="22"/>
        </w:rPr>
        <w:t xml:space="preserve">Specific items exempted from or subject to attribution statement requirement; multiple pages. </w:t>
      </w:r>
      <w:r>
        <w:rPr>
          <w:rFonts w:ascii="Times New Roman" w:hAnsi="Times New Roman"/>
          <w:b w:val="false"/>
          <w:i w:val="false"/>
          <w:color w:val="000000"/>
          <w:sz w:val="22"/>
        </w:rPr>
        <w:t xml:space="preserve">Iowa Code section </w:t>
      </w:r>
      <w:hyperlink r:id="rId157">
        <w:r>
          <w:rPr>
            <w:rStyle w:val="Hyperlink"/>
            <w:rFonts w:ascii="Times New Roman" w:hAnsi="Times New Roman"/>
            <w:b w:val="false"/>
            <w:i w:val="false"/>
            <w:color w:val="000000"/>
            <w:sz w:val="22"/>
          </w:rPr>
          <w:t>68A.405</w:t>
        </w:r>
      </w:hyperlink>
      <w:r>
        <w:rPr>
          <w:rFonts w:ascii="Times New Roman" w:hAnsi="Times New Roman"/>
          <w:b w:val="false"/>
          <w:i w:val="false"/>
          <w:color w:val="000000"/>
          <w:sz w:val="22"/>
        </w:rPr>
        <w:t xml:space="preserve"> and rule </w:t>
      </w:r>
      <w:hyperlink r:id="rId158">
        <w:r>
          <w:rPr>
            <w:rStyle w:val="Hyperlink"/>
            <w:rFonts w:ascii="Times New Roman" w:hAnsi="Times New Roman"/>
            <w:b w:val="false"/>
            <w:i w:val="false"/>
            <w:color w:val="000000"/>
            <w:sz w:val="22"/>
          </w:rPr>
          <w:t>351—4.38</w:t>
        </w:r>
      </w:hyperlink>
      <w:r>
        <w:rPr>
          <w:rFonts w:ascii="Times New Roman" w:hAnsi="Times New Roman"/>
          <w:b w:val="false"/>
          <w:i w:val="false"/>
          <w:color w:val="000000"/>
          <w:sz w:val="22"/>
        </w:rPr>
        <w:t>(68A) require the placement of a “paid for by” attribution statement on published material that expressly advocates for or against a clearly identified candidate or ballot issue, with certain exceptions.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4.39(1)</w:t>
      </w:r>
      <w:r>
        <w:rPr>
          <w:rFonts w:ascii="Times New Roman" w:hAnsi="Times New Roman"/>
          <w:b w:val="false"/>
          <w:i w:val="false"/>
          <w:color w:val="000000"/>
          <w:sz w:val="22"/>
        </w:rPr>
        <w:t> </w:t>
      </w:r>
      <w:r>
        <w:rPr>
          <w:rFonts w:ascii="Times New Roman" w:hAnsi="Times New Roman"/>
          <w:b w:val="false"/>
          <w:i/>
          <w:color w:val="000000"/>
          <w:sz w:val="22"/>
        </w:rPr>
        <w:t xml:space="preserve">Items exempted from requirement. </w:t>
      </w:r>
      <w:r>
        <w:rPr>
          <w:rFonts w:ascii="Times New Roman" w:hAnsi="Times New Roman"/>
          <w:b w:val="false"/>
          <w:i w:val="false"/>
          <w:color w:val="000000"/>
          <w:sz w:val="22"/>
        </w:rPr>
        <w:t>The requirement to place a “paid for by” attribution statement does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Editorials or news articles of a media organization that are not political advertisements.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Small items upon which the inclusion of the attribution statement would be impracticable, such as campaign signs 32 square feet or smaller that have been placed or posted on real property, bumper stickers, pins, buttons, pens, pencils, emery boards, matchbooks and, except as set out in subrule </w:t>
      </w:r>
      <w:hyperlink r:id="rId159">
        <w:r>
          <w:rPr>
            <w:rStyle w:val="Hyperlink"/>
            <w:rFonts w:ascii="Times New Roman" w:hAnsi="Times New Roman"/>
            <w:b w:val="false"/>
            <w:i w:val="false"/>
            <w:color w:val="000000"/>
            <w:sz w:val="22"/>
          </w:rPr>
          <w:t>4.39(2)</w:t>
        </w:r>
      </w:hyperlink>
      <w:r>
        <w:rPr>
          <w:rFonts w:ascii="Times New Roman" w:hAnsi="Times New Roman"/>
          <w:b w:val="false"/>
          <w:i w:val="false"/>
          <w:color w:val="000000"/>
          <w:sz w:val="22"/>
        </w:rPr>
        <w:t>, items that are smaller than 2 inches by 4 inches. For purposes of this rule, 32 square feet is the total dimension of the campaign sign regardless of whether or not both sides of the sign are used for campaign 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T-shirts, caps, and other articles of clothing that expressly advocate for or against a candidate or ballot issue.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Radio advertisements, live telephone calls, or auto-generated telephone messages.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Published material placed by an individual who acts independently and spends $100 or less of the individual’s own resources to expressly advocate the passage or defeat of a ballot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4.39(2)</w:t>
      </w:r>
      <w:r>
        <w:rPr>
          <w:rFonts w:ascii="Times New Roman" w:hAnsi="Times New Roman"/>
          <w:b w:val="false"/>
          <w:i w:val="false"/>
          <w:color w:val="000000"/>
          <w:sz w:val="22"/>
        </w:rPr>
        <w:t> </w:t>
      </w:r>
      <w:r>
        <w:rPr>
          <w:rFonts w:ascii="Times New Roman" w:hAnsi="Times New Roman"/>
          <w:b w:val="false"/>
          <w:i/>
          <w:color w:val="000000"/>
          <w:sz w:val="22"/>
        </w:rPr>
        <w:t xml:space="preserve">Items subject to requirement. </w:t>
      </w:r>
      <w:r>
        <w:rPr>
          <w:rFonts w:ascii="Times New Roman" w:hAnsi="Times New Roman"/>
          <w:b w:val="false"/>
          <w:i w:val="false"/>
          <w:color w:val="000000"/>
          <w:sz w:val="22"/>
        </w:rPr>
        <w:t>The requirement to place a “paid for by” attribution statement applies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Published material such as campaign signs larger than 32 square feet that have been placed or posted on real property, billboards, posters, portable sign carriers, and signs affixed or painted to the side or top of a building or vehicle. A campaign sign placed on a building or vehicle shall contain the appropriate attribution statement regardless of the size of the 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Published material in a newspaper, magazine, shopper, or other periodical regardless of the size of the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Direct mailings, flyers, brochures, postcards, or any other form of published material that is larger than 2 inches by 4 inches and not otherwise set out in </w:t>
      </w:r>
      <w:hyperlink r:id="rId160">
        <w:r>
          <w:rPr>
            <w:rStyle w:val="Hyperlink"/>
            <w:rFonts w:ascii="Times New Roman" w:hAnsi="Times New Roman"/>
            <w:b w:val="false"/>
            <w:i w:val="false"/>
            <w:color w:val="000000"/>
            <w:sz w:val="22"/>
          </w:rPr>
          <w:t>351—4.39</w:t>
        </w:r>
      </w:hyperlink>
      <w:r>
        <w:rPr>
          <w:rFonts w:ascii="Times New Roman" w:hAnsi="Times New Roman"/>
          <w:b w:val="false"/>
          <w:i w:val="false"/>
          <w:color w:val="000000"/>
          <w:sz w:val="22"/>
        </w:rPr>
        <w:t>(68A).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Campaign websites. A blog that is not owned or controlled by a candidate or committee is not required to include an attribution statement disclosing who paid for the costs of the blog. A political advertisement on a blog is required to include the appropriate attribution statement disclosing who paid for the advertisement.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Television, video, and motion picture advertising. The attribution statement shall be displayed on the advertisement in a clearly readable manner for at least four seconds.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4.39(3)</w:t>
      </w:r>
      <w:r>
        <w:rPr>
          <w:rFonts w:ascii="Times New Roman" w:hAnsi="Times New Roman"/>
          <w:b w:val="false"/>
          <w:i w:val="false"/>
          <w:color w:val="000000"/>
          <w:sz w:val="22"/>
        </w:rPr>
        <w:t> </w:t>
      </w:r>
      <w:r>
        <w:rPr>
          <w:rFonts w:ascii="Times New Roman" w:hAnsi="Times New Roman"/>
          <w:b w:val="false"/>
          <w:i/>
          <w:color w:val="000000"/>
          <w:sz w:val="22"/>
        </w:rPr>
        <w:t xml:space="preserve">Multiple pages. </w:t>
      </w:r>
      <w:r>
        <w:rPr>
          <w:rFonts w:ascii="Times New Roman" w:hAnsi="Times New Roman"/>
          <w:b w:val="false"/>
          <w:i w:val="false"/>
          <w:color w:val="000000"/>
          <w:sz w:val="22"/>
        </w:rPr>
        <w:t>If the published material consists of more than one page, the “paid for by” attribution statement need only appear on one page of the material. For a campaign website, the attribution statement need only appear on the home page of the site. A scratch pad need only include the attribution statement on the pad and not on each individual page of the pad.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1">
        <w:r>
          <w:rPr>
            <w:rStyle w:val="Hyperlink"/>
            <w:rFonts w:ascii="Times New Roman" w:hAnsi="Times New Roman"/>
            <w:b w:val="false"/>
            <w:i w:val="false"/>
            <w:color w:val="000000"/>
            <w:sz w:val="22"/>
          </w:rPr>
          <w:t>68A.405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8826B</w:t>
      </w:r>
      <w:r>
        <w:rPr>
          <w:rFonts w:ascii="Times New Roman" w:hAnsi="Times New Roman"/>
          <w:b w:val="false"/>
          <w:i w:val="false"/>
          <w:color w:val="000000"/>
          <w:sz w:val="16"/>
        </w:rPr>
        <w:t>, IAB 6/2/10, effective 5/17/10</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351—4.40</w:t>
      </w:r>
      <w:r>
        <w:rPr>
          <w:rFonts w:ascii="Times New Roman" w:hAnsi="Times New Roman"/>
          <w:b/>
          <w:i w:val="false"/>
          <w:color w:val="000000"/>
          <w:sz w:val="22"/>
        </w:rPr>
        <w:t xml:space="preserve">(68A,68B) </w:t>
      </w:r>
      <w:r>
        <w:rPr>
          <w:rFonts w:ascii="Times New Roman" w:hAnsi="Times New Roman"/>
          <w:b/>
          <w:i w:val="false"/>
          <w:color w:val="000000"/>
          <w:sz w:val="22"/>
        </w:rPr>
        <w:t xml:space="preserve">Newspaper or magazine. </w:t>
      </w:r>
      <w:r>
        <w:rPr>
          <w:rFonts w:ascii="Times New Roman" w:hAnsi="Times New Roman"/>
          <w:b w:val="false"/>
          <w:i w:val="false"/>
          <w:color w:val="000000"/>
          <w:sz w:val="22"/>
        </w:rPr>
        <w:t xml:space="preserve">For the purposes of these rules and Iowa Code section </w:t>
      </w:r>
      <w:hyperlink r:id="rId162">
        <w:r>
          <w:rPr>
            <w:rStyle w:val="Hyperlink"/>
            <w:rFonts w:ascii="Times New Roman" w:hAnsi="Times New Roman"/>
            <w:b w:val="false"/>
            <w:i w:val="false"/>
            <w:color w:val="000000"/>
            <w:sz w:val="22"/>
          </w:rPr>
          <w:t>68A.405</w:t>
        </w:r>
      </w:hyperlink>
      <w:r>
        <w:rPr>
          <w:rFonts w:ascii="Times New Roman" w:hAnsi="Times New Roman"/>
          <w:b w:val="false"/>
          <w:i w:val="false"/>
          <w:color w:val="000000"/>
          <w:sz w:val="22"/>
        </w:rPr>
        <w:t>, “newspaper or magazine” means a regularly scheduled publication of news, articles of opinion, and features available to the general public which does not require membership in or employment by a specific organization.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3">
        <w:r>
          <w:rPr>
            <w:rStyle w:val="Hyperlink"/>
            <w:rFonts w:ascii="Times New Roman" w:hAnsi="Times New Roman"/>
            <w:b w:val="false"/>
            <w:i w:val="false"/>
            <w:color w:val="000000"/>
            <w:sz w:val="22"/>
          </w:rPr>
          <w:t>68A.405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351—4.41</w:t>
      </w:r>
      <w:r>
        <w:rPr>
          <w:rFonts w:ascii="Times New Roman" w:hAnsi="Times New Roman"/>
          <w:b/>
          <w:i w:val="false"/>
          <w:color w:val="000000"/>
          <w:sz w:val="22"/>
        </w:rPr>
        <w:t xml:space="preserve">(68A,68B) </w:t>
      </w:r>
      <w:r>
        <w:rPr>
          <w:rFonts w:ascii="Times New Roman" w:hAnsi="Times New Roman"/>
          <w:b/>
          <w:i w:val="false"/>
          <w:color w:val="000000"/>
          <w:sz w:val="22"/>
        </w:rPr>
        <w:t xml:space="preserve">Apparent violations; remedial action.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4.41(1)</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resolution. </w:t>
      </w:r>
      <w:r>
        <w:rPr>
          <w:rFonts w:ascii="Times New Roman" w:hAnsi="Times New Roman"/>
          <w:b w:val="false"/>
          <w:i w:val="false"/>
          <w:color w:val="000000"/>
          <w:sz w:val="22"/>
        </w:rPr>
        <w:t>In an effort to informally resolve apparent violations of the requirement to place a “paid for by” attribution statement, the board may order administrative resolution of the matter. The board may direct the person responsible for placing the original published political material that did not include the attribution statement to place a correction notice in a local newspaper that reaches the same or substantially the same portion of the public that received the original published political material. A person may also resolve a violation of the “paid for by” attribution statement by resending corrected published political material to the same portion of the public that received the original published political material and by filing a copy of the corrected material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4.41(2)</w:t>
      </w:r>
      <w:r>
        <w:rPr>
          <w:rFonts w:ascii="Times New Roman" w:hAnsi="Times New Roman"/>
          <w:b w:val="false"/>
          <w:i w:val="false"/>
          <w:color w:val="000000"/>
          <w:sz w:val="22"/>
        </w:rPr>
        <w:t> </w:t>
      </w:r>
      <w:r>
        <w:rPr>
          <w:rFonts w:ascii="Times New Roman" w:hAnsi="Times New Roman"/>
          <w:b w:val="false"/>
          <w:i/>
          <w:color w:val="000000"/>
          <w:sz w:val="22"/>
        </w:rPr>
        <w:t xml:space="preserve">Form of correction notice. </w:t>
      </w:r>
      <w:r>
        <w:rPr>
          <w:rFonts w:ascii="Times New Roman" w:hAnsi="Times New Roman"/>
          <w:b w:val="false"/>
          <w:i w:val="false"/>
          <w:color w:val="000000"/>
          <w:sz w:val="22"/>
        </w:rPr>
        <w:t>The correction notice shall be in substantially the following form: “On (date) (describe the type of published political material) was distributed that did not state who paid for it. The (describe the type of published political material) was paid for by (insert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4.41(3)</w:t>
      </w:r>
      <w:r>
        <w:rPr>
          <w:rFonts w:ascii="Times New Roman" w:hAnsi="Times New Roman"/>
          <w:b w:val="false"/>
          <w:i w:val="false"/>
          <w:color w:val="000000"/>
          <w:sz w:val="22"/>
        </w:rPr>
        <w:t> </w:t>
      </w:r>
      <w:r>
        <w:rPr>
          <w:rFonts w:ascii="Times New Roman" w:hAnsi="Times New Roman"/>
          <w:b w:val="false"/>
          <w:i/>
          <w:color w:val="000000"/>
          <w:sz w:val="22"/>
        </w:rPr>
        <w:t xml:space="preserve">Board notice. </w:t>
      </w:r>
      <w:r>
        <w:rPr>
          <w:rFonts w:ascii="Times New Roman" w:hAnsi="Times New Roman"/>
          <w:b w:val="false"/>
          <w:i w:val="false"/>
          <w:color w:val="000000"/>
          <w:sz w:val="22"/>
        </w:rPr>
        <w:t>The board shall notify the person who paid for the original published political material of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4.41(4)</w:t>
      </w:r>
      <w:r>
        <w:rPr>
          <w:rFonts w:ascii="Times New Roman" w:hAnsi="Times New Roman"/>
          <w:b w:val="false"/>
          <w:i w:val="false"/>
          <w:color w:val="000000"/>
          <w:sz w:val="22"/>
        </w:rPr>
        <w:t> </w:t>
      </w:r>
      <w:r>
        <w:rPr>
          <w:rFonts w:ascii="Times New Roman" w:hAnsi="Times New Roman"/>
          <w:b w:val="false"/>
          <w:i/>
          <w:color w:val="000000"/>
          <w:sz w:val="22"/>
        </w:rPr>
        <w:t xml:space="preserve">Refusal to place correction notice. </w:t>
      </w:r>
      <w:r>
        <w:rPr>
          <w:rFonts w:ascii="Times New Roman" w:hAnsi="Times New Roman"/>
          <w:b w:val="false"/>
          <w:i w:val="false"/>
          <w:color w:val="000000"/>
          <w:sz w:val="22"/>
        </w:rPr>
        <w:t>The board may initiate a contested case proceeding and impose discipline against any person who refuses to place a correction notice under this rule.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4">
        <w:r>
          <w:rPr>
            <w:rStyle w:val="Hyperlink"/>
            <w:rFonts w:ascii="Times New Roman" w:hAnsi="Times New Roman"/>
            <w:b w:val="false"/>
            <w:i w:val="false"/>
            <w:color w:val="000000"/>
            <w:sz w:val="22"/>
          </w:rPr>
          <w:t>68A.405</w:t>
        </w:r>
      </w:hyperlink>
      <w:r>
        <w:rPr>
          <w:rFonts w:ascii="Times New Roman" w:hAnsi="Times New Roman"/>
          <w:b w:val="false"/>
          <w:i w:val="false"/>
          <w:color w:val="000000"/>
          <w:sz w:val="22"/>
        </w:rPr>
        <w:t xml:space="preserve"> and </w:t>
      </w:r>
      <w:hyperlink r:id="rId165">
        <w:r>
          <w:rPr>
            <w:rStyle w:val="Hyperlink"/>
            <w:rFonts w:ascii="Times New Roman" w:hAnsi="Times New Roman"/>
            <w:b w:val="false"/>
            <w:i w:val="false"/>
            <w:color w:val="000000"/>
            <w:sz w:val="22"/>
          </w:rPr>
          <w:t>68B.32A(8)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351—4.42</w:t>
      </w:r>
      <w:r>
        <w:rPr>
          <w:rFonts w:ascii="Times New Roman" w:hAnsi="Times New Roman"/>
          <w:b w:val="false"/>
          <w:i w:val="false"/>
          <w:color w:val="000000"/>
          <w:sz w:val="22"/>
        </w:rPr>
        <w:t xml:space="preserve"> and </w:t>
      </w:r>
      <w:r>
        <w:rPr>
          <w:rFonts w:ascii="Times New Roman" w:hAnsi="Times New Roman"/>
          <w:b/>
          <w:i w:val="false"/>
          <w:color w:val="000000"/>
          <w:sz w:val="22"/>
        </w:rPr>
        <w:t>4.43</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CORPORATE POLITICAL ACTIVITY</w:t>
      </w:r>
    </w:p>
    <w:p>
      <w:pPr>
        <w:spacing w:before="0" w:after="0"/>
        <w:ind w:left="120"/>
        <w:jc w:val="both"/>
      </w:pPr>
      <w:r>
        <w:rPr>
          <w:rFonts w:ascii="Times New Roman" w:hAnsi="Times New Roman"/>
          <w:b/>
          <w:i w:val="false"/>
          <w:color w:val="000000"/>
          <w:sz w:val="22"/>
        </w:rPr>
        <w:t>351—4.44</w:t>
      </w:r>
      <w:r>
        <w:rPr>
          <w:rFonts w:ascii="Times New Roman" w:hAnsi="Times New Roman"/>
          <w:b/>
          <w:i w:val="false"/>
          <w:color w:val="000000"/>
          <w:sz w:val="22"/>
        </w:rPr>
        <w:t xml:space="preserve">(68A,68B) </w:t>
      </w:r>
      <w:r>
        <w:rPr>
          <w:rFonts w:ascii="Times New Roman" w:hAnsi="Times New Roman"/>
          <w:b/>
          <w:i w:val="false"/>
          <w:color w:val="000000"/>
          <w:sz w:val="22"/>
        </w:rPr>
        <w:t xml:space="preserve">Prohibited corporate activity. </w:t>
      </w:r>
      <w:r>
        <w:rPr>
          <w:rFonts w:ascii="Times New Roman" w:hAnsi="Times New Roman"/>
          <w:b w:val="false"/>
          <w:i w:val="false"/>
          <w:color w:val="000000"/>
          <w:sz w:val="22"/>
        </w:rPr>
        <w:t xml:space="preserve">As provided in Iowa Code section </w:t>
      </w:r>
      <w:hyperlink r:id="rId166">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 a financial institution, insurance company, or corporation is prohibited from using its resources to make monetary or in-kind campaign contributions to a candidate, candidate’s committee, political committee that expressly advocates for or against a candidate, or a political party committee. For purposes of this chapter, “corporate entity” shall include financial institutions, insurance companies, and corporations.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4.44(1)</w:t>
      </w:r>
      <w:r>
        <w:rPr>
          <w:rFonts w:ascii="Times New Roman" w:hAnsi="Times New Roman"/>
          <w:b w:val="false"/>
          <w:i w:val="false"/>
          <w:color w:val="000000"/>
          <w:sz w:val="22"/>
        </w:rPr>
        <w:t> </w:t>
      </w:r>
      <w:r>
        <w:rPr>
          <w:rFonts w:ascii="Times New Roman" w:hAnsi="Times New Roman"/>
          <w:b w:val="false"/>
          <w:i w:val="false"/>
          <w:color w:val="000000"/>
          <w:sz w:val="22"/>
        </w:rPr>
        <w:t>The prohibition on corporate political activity does not apply to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LLC, LLP, or any other organization that does not file articles of incorporation and is not owned in whole or in part by a corporation.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Monetary or in-kind campaign contributions to a ballot issue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Independent expenditure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campaign committee using a corporate entity computer to generate and file a campaign disclosure statement or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4.44(2)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prohibited corporate activity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physical placement of campaign materials on corporate property except as permitted under Iowa Code sections </w:t>
      </w:r>
      <w:hyperlink r:id="rId167">
        <w:r>
          <w:rPr>
            <w:rStyle w:val="Hyperlink"/>
            <w:rFonts w:ascii="Times New Roman" w:hAnsi="Times New Roman"/>
            <w:b w:val="false"/>
            <w:i w:val="false"/>
            <w:color w:val="000000"/>
            <w:sz w:val="22"/>
          </w:rPr>
          <w:t>68A.406</w:t>
        </w:r>
      </w:hyperlink>
      <w:r>
        <w:rPr>
          <w:rFonts w:ascii="Times New Roman" w:hAnsi="Times New Roman"/>
          <w:b w:val="false"/>
          <w:i w:val="false"/>
          <w:color w:val="000000"/>
          <w:sz w:val="22"/>
        </w:rPr>
        <w:t xml:space="preserve"> and </w:t>
      </w:r>
      <w:hyperlink r:id="rId168">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use of motor vehicles, telephone equipment, long-distance lines, computers, typewriters, office space, duplicating equipment and supplies, stationery, envelopes, labels, postage, postage meters or communication systems of corporate entities.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use of corporate entity facilities, premises, recreational facilities and housing that are not ordinarily available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furnishing of beverages and other refreshments that cost in excess of $50 and that are not ordinarily available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contributing of money of the corporate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transaction conducted between a corporate entity and a candidate, candidate’s committee, political committee that expressly advocates for or against candidates, or a political party committee. Such transaction is presumed to be a corporate contribution unless it is sufficiently demonstrated to the board that the transaction should not be considered a prohibited contribution under Iowa Code section </w:t>
      </w:r>
      <w:hyperlink r:id="rId169">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0">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8826B</w:t>
      </w:r>
      <w:r>
        <w:rPr>
          <w:rFonts w:ascii="Times New Roman" w:hAnsi="Times New Roman"/>
          <w:b w:val="false"/>
          <w:i w:val="false"/>
          <w:color w:val="000000"/>
          <w:sz w:val="16"/>
        </w:rPr>
        <w:t>, IAB 6/2/10, effective 5/17/10</w:t>
      </w:r>
      <w:r>
        <w:rPr>
          <w:rFonts w:ascii="Times New Roman" w:hAnsi="Times New Roman"/>
          <w:b w:val="false"/>
          <w:i w:val="false"/>
          <w:color w:val="000000"/>
          <w:sz w:val="16"/>
        </w:rPr>
        <w:t xml:space="preserve">; </w:t>
      </w:r>
      <w:r>
        <w:rPr>
          <w:rFonts w:ascii="Times New Roman" w:hAnsi="Times New Roman"/>
          <w:b/>
          <w:i w:val="false"/>
          <w:color w:val="000000"/>
          <w:sz w:val="16"/>
        </w:rPr>
        <w:t>ARC 1390C</w:t>
      </w:r>
      <w:r>
        <w:rPr>
          <w:rFonts w:ascii="Times New Roman" w:hAnsi="Times New Roman"/>
          <w:b w:val="false"/>
          <w:i w:val="false"/>
          <w:color w:val="000000"/>
          <w:sz w:val="16"/>
        </w:rPr>
        <w:t>, IAB 4/2/14, effective 5/7/14</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351—4.45</w:t>
      </w:r>
      <w:r>
        <w:rPr>
          <w:rFonts w:ascii="Times New Roman" w:hAnsi="Times New Roman"/>
          <w:b/>
          <w:i w:val="false"/>
          <w:color w:val="000000"/>
          <w:sz w:val="22"/>
        </w:rPr>
        <w:t xml:space="preserve">(68A,68B) </w:t>
      </w:r>
      <w:r>
        <w:rPr>
          <w:rFonts w:ascii="Times New Roman" w:hAnsi="Times New Roman"/>
          <w:b/>
          <w:i w:val="false"/>
          <w:color w:val="000000"/>
          <w:sz w:val="22"/>
        </w:rPr>
        <w:t xml:space="preserve">Corporate-sponsored political committee. </w:t>
      </w:r>
      <w:r>
        <w:rPr>
          <w:rFonts w:ascii="Times New Roman" w:hAnsi="Times New Roman"/>
          <w:b w:val="false"/>
          <w:i w:val="false"/>
          <w:color w:val="000000"/>
          <w:sz w:val="22"/>
        </w:rPr>
        <w:t xml:space="preserve">These rules do not prevent a corporate entity from soliciting eligible members to join or contribute to its own corporate-sponsored political committee (PAC), so long as the corporate entity adheres to the provisions of Iowa Code section </w:t>
      </w:r>
      <w:hyperlink r:id="rId171">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2">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351—4.46</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351—4.47</w:t>
      </w:r>
      <w:r>
        <w:rPr>
          <w:rFonts w:ascii="Times New Roman" w:hAnsi="Times New Roman"/>
          <w:b/>
          <w:i w:val="false"/>
          <w:color w:val="000000"/>
          <w:sz w:val="22"/>
        </w:rPr>
        <w:t xml:space="preserve">(68A,68B) </w:t>
      </w:r>
      <w:r>
        <w:rPr>
          <w:rFonts w:ascii="Times New Roman" w:hAnsi="Times New Roman"/>
          <w:b/>
          <w:i w:val="false"/>
          <w:color w:val="000000"/>
          <w:sz w:val="22"/>
        </w:rPr>
        <w:t xml:space="preserve">Permitted activity—reimbursement required. </w:t>
      </w:r>
      <w:r>
        <w:rPr>
          <w:rFonts w:ascii="Times New Roman" w:hAnsi="Times New Roman"/>
          <w:b w:val="false"/>
          <w:i w:val="false"/>
          <w:color w:val="000000"/>
          <w:sz w:val="22"/>
        </w:rPr>
        <w:t xml:space="preserve">The prohibitions against certain transactions between corporate entities and candidates or committees expressly advocating the election or defeat of candidates contained in Iowa Code section </w:t>
      </w:r>
      <w:hyperlink r:id="rId173">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 xml:space="preserve"> and in rule </w:t>
      </w:r>
      <w:hyperlink r:id="rId174">
        <w:r>
          <w:rPr>
            <w:rStyle w:val="Hyperlink"/>
            <w:rFonts w:ascii="Times New Roman" w:hAnsi="Times New Roman"/>
            <w:b w:val="false"/>
            <w:i w:val="false"/>
            <w:color w:val="000000"/>
            <w:sz w:val="22"/>
          </w:rPr>
          <w:t>351—4.44</w:t>
        </w:r>
      </w:hyperlink>
      <w:r>
        <w:rPr>
          <w:rFonts w:ascii="Times New Roman" w:hAnsi="Times New Roman"/>
          <w:b w:val="false"/>
          <w:i w:val="false"/>
          <w:color w:val="000000"/>
          <w:sz w:val="22"/>
        </w:rPr>
        <w:t>(68A,68B) are not construed to prohibit activity that occurs consistent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4.47(1)</w:t>
      </w:r>
      <w:r>
        <w:rPr>
          <w:rFonts w:ascii="Times New Roman" w:hAnsi="Times New Roman"/>
          <w:b w:val="false"/>
          <w:i w:val="false"/>
          <w:color w:val="000000"/>
          <w:sz w:val="22"/>
        </w:rPr>
        <w:t> </w:t>
      </w:r>
      <w:r>
        <w:rPr>
          <w:rFonts w:ascii="Times New Roman" w:hAnsi="Times New Roman"/>
          <w:b w:val="false"/>
          <w:i/>
          <w:color w:val="000000"/>
          <w:sz w:val="22"/>
        </w:rPr>
        <w:t xml:space="preserve">Purchase or rental of office facility. </w:t>
      </w:r>
      <w:r>
        <w:rPr>
          <w:rFonts w:ascii="Times New Roman" w:hAnsi="Times New Roman"/>
          <w:b w:val="false"/>
          <w:i w:val="false"/>
          <w:color w:val="000000"/>
          <w:sz w:val="22"/>
        </w:rPr>
        <w:t>A candidate’s committee or any other committee that expressly advocates the election or defeat of a candidate may purchase or rent property belonging to a corporate entity, so long as the purchase or rental is at fair market value. For the purpose of this subrule, “fair market value” means the amount that a member of the general public would expect to pay to purchase or rent a similar property within the community in which the property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4.47(2)</w:t>
      </w:r>
      <w:r>
        <w:rPr>
          <w:rFonts w:ascii="Times New Roman" w:hAnsi="Times New Roman"/>
          <w:b w:val="false"/>
          <w:i w:val="false"/>
          <w:color w:val="000000"/>
          <w:sz w:val="22"/>
        </w:rPr>
        <w:t> </w:t>
      </w:r>
      <w:r>
        <w:rPr>
          <w:rFonts w:ascii="Times New Roman" w:hAnsi="Times New Roman"/>
          <w:b w:val="false"/>
          <w:i/>
          <w:color w:val="000000"/>
          <w:sz w:val="22"/>
        </w:rPr>
        <w:t xml:space="preserve">Use of corporate facilities to produce or mail materials. </w:t>
      </w:r>
      <w:r>
        <w:rPr>
          <w:rFonts w:ascii="Times New Roman" w:hAnsi="Times New Roman"/>
          <w:b w:val="false"/>
          <w:i w:val="false"/>
          <w:color w:val="000000"/>
          <w:sz w:val="22"/>
        </w:rPr>
        <w:t>Any person who uses the facilities of a corporate entity to produce or mail materials in connection with a candidate election is required to reimburse the corporate entity within a commercially reasonable time for the normal and usual charge for producing or mailing such materials in the commercial market. For example, if it would otherwise cost 10 cents per page to have a brochure copied at a commercial printer, the corporate entity must be reimbursed at 10 cents per page even if the overhead and operating cost is only 5 cents per page. Likewise, the corporate entity must be reimbursed at the first-class mail rate even if the direct cost to the corporate entity is less through the use of its bulk mail permit. This subrule does not affect the ability of a commercial vendor to charge an amount for postage which is less than for first-class mail where the reduced or bulk mail charge is available to all similarly situated customers without respect to the political identity of the customer.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4.47(3)</w:t>
      </w:r>
      <w:r>
        <w:rPr>
          <w:rFonts w:ascii="Times New Roman" w:hAnsi="Times New Roman"/>
          <w:b w:val="false"/>
          <w:i w:val="false"/>
          <w:color w:val="000000"/>
          <w:sz w:val="22"/>
        </w:rPr>
        <w:t> </w:t>
      </w:r>
      <w:r>
        <w:rPr>
          <w:rFonts w:ascii="Times New Roman" w:hAnsi="Times New Roman"/>
          <w:b w:val="false"/>
          <w:i/>
          <w:color w:val="000000"/>
          <w:sz w:val="22"/>
        </w:rPr>
        <w:t xml:space="preserve">Use or rental of corporate facilities by other persons. </w:t>
      </w:r>
      <w:r>
        <w:rPr>
          <w:rFonts w:ascii="Times New Roman" w:hAnsi="Times New Roman"/>
          <w:b w:val="false"/>
          <w:i w:val="false"/>
          <w:color w:val="000000"/>
          <w:sz w:val="22"/>
        </w:rPr>
        <w:t>Persons other than stockholders, administrative officers or employees of a corporate entity who make any use of corporate facilities, such as using telephones, facsimile machines, typewriters or computers or borrowing office furniture for activity in connection with a candidate election, are required to reimburse the corporate entity within a commercially reasonable time in the amount of the normal and usual rental charge. If one or more telephones of a corporate entity are used as a telephone bank, a rebuttable presumption is established that $3 per telephone per hour, plus any actual long distance charges, is acceptable as a normal and usual rental 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4.47(4)</w:t>
      </w:r>
      <w:r>
        <w:rPr>
          <w:rFonts w:ascii="Times New Roman" w:hAnsi="Times New Roman"/>
          <w:b w:val="false"/>
          <w:i w:val="false"/>
          <w:color w:val="000000"/>
          <w:sz w:val="22"/>
        </w:rPr>
        <w:t> </w:t>
      </w:r>
      <w:r>
        <w:rPr>
          <w:rFonts w:ascii="Times New Roman" w:hAnsi="Times New Roman"/>
          <w:b w:val="false"/>
          <w:i/>
          <w:color w:val="000000"/>
          <w:sz w:val="22"/>
        </w:rPr>
        <w:t xml:space="preserve">Use of airplanes and other means of transportation.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Air travel. </w:t>
      </w:r>
      <w:r>
        <w:rPr>
          <w:rFonts w:ascii="Times New Roman" w:hAnsi="Times New Roman"/>
          <w:b w:val="false"/>
          <w:i w:val="false"/>
          <w:color w:val="000000"/>
          <w:sz w:val="22"/>
        </w:rPr>
        <w:t>A candidate, candidate’s agent, or person traveling on behalf of a candidate who uses noncommercial air transportation made available by a corporate entity shall, in advance, reimburse the corporate entity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Where the destination is served by regularly scheduled commercial service, the coach class airfare (without discounts).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Where the destination is not served by a regularly scheduled commercial service, the usual charter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Other transportation. </w:t>
      </w:r>
      <w:r>
        <w:rPr>
          <w:rFonts w:ascii="Times New Roman" w:hAnsi="Times New Roman"/>
          <w:b w:val="false"/>
          <w:i w:val="false"/>
          <w:color w:val="000000"/>
          <w:sz w:val="22"/>
        </w:rPr>
        <w:t>A candidate, candidate’s agent, or person traveling on behalf of a candidate who uses other means of transportation made available by a corporate entity shall, within a commercially reasonable time, reimburse the corporate entity at the normal and usual rental 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4.47(5)</w:t>
      </w:r>
      <w:r>
        <w:rPr>
          <w:rFonts w:ascii="Times New Roman" w:hAnsi="Times New Roman"/>
          <w:b w:val="false"/>
          <w:i w:val="false"/>
          <w:color w:val="000000"/>
          <w:sz w:val="22"/>
        </w:rPr>
        <w:t> </w:t>
      </w:r>
      <w:r>
        <w:rPr>
          <w:rFonts w:ascii="Times New Roman" w:hAnsi="Times New Roman"/>
          <w:b w:val="false"/>
          <w:i/>
          <w:color w:val="000000"/>
          <w:sz w:val="22"/>
        </w:rPr>
        <w:t xml:space="preserve">Equal access not required. </w:t>
      </w:r>
      <w:r>
        <w:rPr>
          <w:rFonts w:ascii="Times New Roman" w:hAnsi="Times New Roman"/>
          <w:b w:val="false"/>
          <w:i w:val="false"/>
          <w:color w:val="000000"/>
          <w:sz w:val="22"/>
        </w:rPr>
        <w:t>For the purpose of this rule, it is not necessary that the corporate entity be in the business of selling or renting the property, good or service to the general public; further, it is not necessary that the corporate entity provide access to the same property, good or service to other candidates or committees.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4.47(6)</w:t>
      </w:r>
      <w:r>
        <w:rPr>
          <w:rFonts w:ascii="Times New Roman" w:hAnsi="Times New Roman"/>
          <w:b w:val="false"/>
          <w:i w:val="false"/>
          <w:color w:val="000000"/>
          <w:sz w:val="22"/>
        </w:rPr>
        <w:t> </w:t>
      </w:r>
      <w:r>
        <w:rPr>
          <w:rFonts w:ascii="Times New Roman" w:hAnsi="Times New Roman"/>
          <w:b w:val="false"/>
          <w:i/>
          <w:color w:val="000000"/>
          <w:sz w:val="22"/>
        </w:rPr>
        <w:t xml:space="preserve">Commercially reasonable time. </w:t>
      </w:r>
      <w:r>
        <w:rPr>
          <w:rFonts w:ascii="Times New Roman" w:hAnsi="Times New Roman"/>
          <w:b w:val="false"/>
          <w:i w:val="false"/>
          <w:color w:val="000000"/>
          <w:sz w:val="22"/>
        </w:rPr>
        <w:t>For the purpose of this rule, a rebuttable presumption is established that reimbursement to the corporate entity within ten business days is acceptable as within a commercially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4.47(7)</w:t>
      </w:r>
      <w:r>
        <w:rPr>
          <w:rFonts w:ascii="Times New Roman" w:hAnsi="Times New Roman"/>
          <w:b w:val="false"/>
          <w:i w:val="false"/>
          <w:color w:val="000000"/>
          <w:sz w:val="22"/>
        </w:rPr>
        <w:t> </w:t>
      </w:r>
      <w:r>
        <w:rPr>
          <w:rFonts w:ascii="Times New Roman" w:hAnsi="Times New Roman"/>
          <w:b w:val="false"/>
          <w:i/>
          <w:color w:val="000000"/>
          <w:sz w:val="22"/>
        </w:rPr>
        <w:t xml:space="preserve">Loans and debts. </w:t>
      </w:r>
      <w:r>
        <w:rPr>
          <w:rFonts w:ascii="Times New Roman" w:hAnsi="Times New Roman"/>
          <w:b w:val="false"/>
          <w:i w:val="false"/>
          <w:color w:val="000000"/>
          <w:sz w:val="22"/>
        </w:rPr>
        <w:t xml:space="preserve">A financial institution may make a loan to a candidate or candidate’s committee so long as the loan is repaid and all proper public disclosure of the transaction is made pursuant to rule </w:t>
      </w:r>
      <w:hyperlink r:id="rId175">
        <w:r>
          <w:rPr>
            <w:rStyle w:val="Hyperlink"/>
            <w:rFonts w:ascii="Times New Roman" w:hAnsi="Times New Roman"/>
            <w:b w:val="false"/>
            <w:i w:val="false"/>
            <w:color w:val="000000"/>
            <w:sz w:val="22"/>
          </w:rPr>
          <w:t>351—4.18</w:t>
        </w:r>
      </w:hyperlink>
      <w:r>
        <w:rPr>
          <w:rFonts w:ascii="Times New Roman" w:hAnsi="Times New Roman"/>
          <w:b w:val="false"/>
          <w:i w:val="false"/>
          <w:color w:val="000000"/>
          <w:sz w:val="22"/>
        </w:rPr>
        <w:t xml:space="preserve">(68A,68B). A candidate or candidate’s committee may owe a debt to an insurance company, financial institution, or corporation so long as the debt is repaid and all proper public disclosure of the transaction is made pursuant to rule </w:t>
      </w:r>
      <w:hyperlink r:id="rId176">
        <w:r>
          <w:rPr>
            <w:rStyle w:val="Hyperlink"/>
            <w:rFonts w:ascii="Times New Roman" w:hAnsi="Times New Roman"/>
            <w:b w:val="false"/>
            <w:i w:val="false"/>
            <w:color w:val="000000"/>
            <w:sz w:val="22"/>
          </w:rPr>
          <w:t>351—4.16</w:t>
        </w:r>
      </w:hyperlink>
      <w:r>
        <w:rPr>
          <w:rFonts w:ascii="Times New Roman" w:hAnsi="Times New Roman"/>
          <w:b w:val="false"/>
          <w:i w:val="false"/>
          <w:color w:val="000000"/>
          <w:sz w:val="22"/>
        </w:rPr>
        <w:t xml:space="preserve">(68A,68B). The repayment of a loan or debt under this subrule shall be made prior to the dissolution of the committee pursuant to rule </w:t>
      </w:r>
      <w:hyperlink r:id="rId177">
        <w:r>
          <w:rPr>
            <w:rStyle w:val="Hyperlink"/>
            <w:rFonts w:ascii="Times New Roman" w:hAnsi="Times New Roman"/>
            <w:b w:val="false"/>
            <w:i w:val="false"/>
            <w:color w:val="000000"/>
            <w:sz w:val="22"/>
          </w:rPr>
          <w:t>351—4.57</w:t>
        </w:r>
      </w:hyperlink>
      <w:r>
        <w:rPr>
          <w:rFonts w:ascii="Times New Roman" w:hAnsi="Times New Roman"/>
          <w:b w:val="false"/>
          <w:i w:val="false"/>
          <w:color w:val="000000"/>
          <w:sz w:val="22"/>
        </w:rPr>
        <w:t>(68A,68B).</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8">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351—4.48</w:t>
      </w:r>
      <w:r>
        <w:rPr>
          <w:rFonts w:ascii="Times New Roman" w:hAnsi="Times New Roman"/>
          <w:b/>
          <w:i w:val="false"/>
          <w:color w:val="000000"/>
          <w:sz w:val="22"/>
        </w:rPr>
        <w:t xml:space="preserve">(68A) </w:t>
      </w:r>
      <w:r>
        <w:rPr>
          <w:rFonts w:ascii="Times New Roman" w:hAnsi="Times New Roman"/>
          <w:b/>
          <w:i w:val="false"/>
          <w:color w:val="000000"/>
          <w:sz w:val="22"/>
        </w:rPr>
        <w:t xml:space="preserve">Sham newspapers subject to campaign laws. </w:t>
      </w:r>
      <w:r>
        <w:rPr>
          <w:rFonts w:ascii="Times New Roman" w:hAnsi="Times New Roman"/>
          <w:b w:val="false"/>
          <w:i w:val="false"/>
          <w:color w:val="000000"/>
          <w:sz w:val="22"/>
        </w:rPr>
        <w:t xml:space="preserve">The owner, publisher, or editor of a sham newspaper who is using the sham newspaper to promote in any way the candidacy of any person for public office must comply with the requirements of Iowa Code chapter </w:t>
      </w:r>
      <w:hyperlink r:id="rId179">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4.48(1)</w:t>
      </w:r>
      <w:r>
        <w:rPr>
          <w:rFonts w:ascii="Times New Roman" w:hAnsi="Times New Roman"/>
          <w:b w:val="false"/>
          <w:i w:val="false"/>
          <w:color w:val="000000"/>
          <w:sz w:val="22"/>
        </w:rPr>
        <w:t> </w:t>
      </w:r>
      <w:r>
        <w:rPr>
          <w:rFonts w:ascii="Times New Roman" w:hAnsi="Times New Roman"/>
          <w:b w:val="false"/>
          <w:i/>
          <w:color w:val="000000"/>
          <w:sz w:val="22"/>
        </w:rPr>
        <w:t xml:space="preserve">Factors. </w:t>
      </w:r>
      <w:r>
        <w:rPr>
          <w:rFonts w:ascii="Times New Roman" w:hAnsi="Times New Roman"/>
          <w:b w:val="false"/>
          <w:i w:val="false"/>
          <w:color w:val="000000"/>
          <w:sz w:val="22"/>
        </w:rPr>
        <w:t>In determining whether or not a publication is entitled to the press exception or is a sham newspaper that triggers the campaign laws, the board will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the publication is published and made available on a regular schedule or interval;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proximity to the election in which the candidates and public affairs are discussed;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Whether the publication contains news items and articles of opinion of a general character separate from discussions concerning candidates and public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How widely the publication is circulated or is otherwise made available to the public in comparison to a targeted audience for potential campaign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Whether the publication discusses all candidates for a particular election or otherwise gives all candidates equal space;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the publication expressly advocates for the candidacy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4.48(2)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“Express advocacy” </w:t>
      </w:r>
      <w:r>
        <w:rPr>
          <w:rFonts w:ascii="Times New Roman" w:hAnsi="Times New Roman"/>
          <w:b w:val="false"/>
          <w:i w:val="false"/>
          <w:color w:val="000000"/>
          <w:sz w:val="22"/>
        </w:rPr>
        <w:t xml:space="preserve">means “express advocacy” as defined in Iowa Code section </w:t>
      </w:r>
      <w:hyperlink r:id="rId180">
        <w:r>
          <w:rPr>
            <w:rStyle w:val="Hyperlink"/>
            <w:rFonts w:ascii="Times New Roman" w:hAnsi="Times New Roman"/>
            <w:b w:val="false"/>
            <w:i w:val="false"/>
            <w:color w:val="000000"/>
            <w:sz w:val="22"/>
          </w:rPr>
          <w:t>68A.102(14)</w:t>
        </w:r>
      </w:hyperlink>
      <w:r>
        <w:rPr>
          <w:rFonts w:ascii="Times New Roman" w:hAnsi="Times New Roman"/>
          <w:b w:val="false"/>
          <w:i w:val="false"/>
          <w:color w:val="000000"/>
          <w:sz w:val="22"/>
        </w:rPr>
        <w:t xml:space="preserve"> and rule </w:t>
      </w:r>
      <w:hyperlink r:id="rId181">
        <w:r>
          <w:rPr>
            <w:rStyle w:val="Hyperlink"/>
            <w:rFonts w:ascii="Times New Roman" w:hAnsi="Times New Roman"/>
            <w:b w:val="false"/>
            <w:i w:val="false"/>
            <w:color w:val="000000"/>
            <w:sz w:val="22"/>
          </w:rPr>
          <w:t>351—4.53</w:t>
        </w:r>
      </w:hyperlink>
      <w:r>
        <w:rPr>
          <w:rFonts w:ascii="Times New Roman" w:hAnsi="Times New Roman"/>
          <w:b w:val="false"/>
          <w:i w:val="false"/>
          <w:color w:val="000000"/>
          <w:sz w:val="22"/>
        </w:rPr>
        <w:t>(68A).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“Media organization” </w:t>
      </w:r>
      <w:r>
        <w:rPr>
          <w:rFonts w:ascii="Times New Roman" w:hAnsi="Times New Roman"/>
          <w:b w:val="false"/>
          <w:i w:val="false"/>
          <w:color w:val="000000"/>
          <w:sz w:val="22"/>
        </w:rPr>
        <w:t xml:space="preserve">means “media organization” as defined in rule </w:t>
      </w:r>
      <w:hyperlink r:id="rId182">
        <w:r>
          <w:rPr>
            <w:rStyle w:val="Hyperlink"/>
            <w:rFonts w:ascii="Times New Roman" w:hAnsi="Times New Roman"/>
            <w:b w:val="false"/>
            <w:i w:val="false"/>
            <w:color w:val="000000"/>
            <w:sz w:val="22"/>
          </w:rPr>
          <w:t>351—4.51</w:t>
        </w:r>
      </w:hyperlink>
      <w:r>
        <w:rPr>
          <w:rFonts w:ascii="Times New Roman" w:hAnsi="Times New Roman"/>
          <w:b w:val="false"/>
          <w:i w:val="false"/>
          <w:color w:val="000000"/>
          <w:sz w:val="22"/>
        </w:rPr>
        <w:t>(68A).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“Sham newspaper” </w:t>
      </w:r>
      <w:r>
        <w:rPr>
          <w:rFonts w:ascii="Times New Roman" w:hAnsi="Times New Roman"/>
          <w:b w:val="false"/>
          <w:i w:val="false"/>
          <w:color w:val="000000"/>
          <w:sz w:val="22"/>
        </w:rPr>
        <w:t xml:space="preserve">means “sham newspaper” as defined in Iowa Code section </w:t>
      </w:r>
      <w:hyperlink r:id="rId183">
        <w:r>
          <w:rPr>
            <w:rStyle w:val="Hyperlink"/>
            <w:rFonts w:ascii="Times New Roman" w:hAnsi="Times New Roman"/>
            <w:b w:val="false"/>
            <w:i w:val="false"/>
            <w:color w:val="000000"/>
            <w:sz w:val="22"/>
          </w:rPr>
          <w:t>68A.503(5)</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4">
        <w:r>
          <w:rPr>
            <w:rStyle w:val="Hyperlink"/>
            <w:rFonts w:ascii="Times New Roman" w:hAnsi="Times New Roman"/>
            <w:b w:val="false"/>
            <w:i w:val="false"/>
            <w:color w:val="000000"/>
            <w:sz w:val="22"/>
          </w:rPr>
          <w:t>68A.503(5)</w:t>
        </w:r>
        <w:r>
          <w:rPr>
            <w:rFonts w:ascii="Times New Roman" w:hAnsi="Times New Roman"/>
            <w:b w:val="false"/>
            <w:i/>
            <w:color w:val="000000"/>
            <w:sz w:val="22"/>
          </w:rPr>
          <w:t>“b.”</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7866B</w:t>
      </w:r>
      <w:r>
        <w:rPr>
          <w:rFonts w:ascii="Times New Roman" w:hAnsi="Times New Roman"/>
          <w:b w:val="false"/>
          <w:i w:val="false"/>
          <w:color w:val="000000"/>
          <w:sz w:val="16"/>
        </w:rPr>
        <w:t>, IAB 6/17/09, effective 7/22/09</w:t>
      </w:r>
      <w:r>
        <w:rPr>
          <w:rFonts w:ascii="Times New Roman" w:hAnsi="Times New Roman"/>
          <w:b w:val="false"/>
          <w:i w:val="false"/>
          <w:color w:val="000000"/>
          <w:sz w:val="16"/>
        </w:rPr>
        <w:t xml:space="preserve">; </w:t>
      </w:r>
      <w:r>
        <w:rPr>
          <w:rFonts w:ascii="Times New Roman" w:hAnsi="Times New Roman"/>
          <w:b/>
          <w:i w:val="false"/>
          <w:color w:val="000000"/>
          <w:sz w:val="16"/>
        </w:rPr>
        <w:t>ARC 8826B</w:t>
      </w:r>
      <w:r>
        <w:rPr>
          <w:rFonts w:ascii="Times New Roman" w:hAnsi="Times New Roman"/>
          <w:b w:val="false"/>
          <w:i w:val="false"/>
          <w:color w:val="000000"/>
          <w:sz w:val="16"/>
        </w:rPr>
        <w:t>, IAB 6/2/10, effective 5/17/10</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351—4.49</w:t>
      </w:r>
      <w:r>
        <w:rPr>
          <w:rFonts w:ascii="Times New Roman" w:hAnsi="Times New Roman"/>
          <w:b/>
          <w:i w:val="false"/>
          <w:color w:val="000000"/>
          <w:sz w:val="22"/>
        </w:rPr>
        <w:t xml:space="preserve">(68A,68B) </w:t>
      </w:r>
      <w:r>
        <w:rPr>
          <w:rFonts w:ascii="Times New Roman" w:hAnsi="Times New Roman"/>
          <w:b/>
          <w:i w:val="false"/>
          <w:color w:val="000000"/>
          <w:sz w:val="22"/>
        </w:rPr>
        <w:t xml:space="preserve">Individual property. </w:t>
      </w:r>
      <w:r>
        <w:rPr>
          <w:rFonts w:ascii="Times New Roman" w:hAnsi="Times New Roman"/>
          <w:b w:val="false"/>
          <w:i w:val="false"/>
          <w:color w:val="000000"/>
          <w:sz w:val="22"/>
        </w:rPr>
        <w:t>These rules do not apply to the personal or real property of corporate officers or of individuals employed or associated with a corporate entity and shall not abridge the free-speech rights and privileges of individuals.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5">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351—4.50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351—4.51</w:t>
      </w:r>
      <w:r>
        <w:rPr>
          <w:rFonts w:ascii="Times New Roman" w:hAnsi="Times New Roman"/>
          <w:b/>
          <w:i w:val="false"/>
          <w:color w:val="000000"/>
          <w:sz w:val="22"/>
        </w:rPr>
        <w:t xml:space="preserve">(68A) </w:t>
      </w:r>
      <w:r>
        <w:rPr>
          <w:rFonts w:ascii="Times New Roman" w:hAnsi="Times New Roman"/>
          <w:b/>
          <w:i w:val="false"/>
          <w:color w:val="000000"/>
          <w:sz w:val="22"/>
        </w:rPr>
        <w:t xml:space="preserve">Candidate debate—media organization; debate structure; debate funding; contribution reporting inapplicable. </w:t>
      </w:r>
      <w:r>
        <w:rPr>
          <w:rFonts w:ascii="Times New Roman" w:hAnsi="Times New Roman"/>
          <w:b w:val="false"/>
          <w:i w:val="false"/>
          <w:color w:val="000000"/>
          <w:sz w:val="22"/>
        </w:rPr>
        <w:t xml:space="preserve">Iowa Code section </w:t>
      </w:r>
      <w:hyperlink r:id="rId186">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 xml:space="preserve"> prohibits corporations from making contributions to state or local candidates in Iowa. This prohibition does not apply to incorporated media organizations that host candidate debates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4.51(1)</w:t>
      </w:r>
      <w:r>
        <w:rPr>
          <w:rFonts w:ascii="Times New Roman" w:hAnsi="Times New Roman"/>
          <w:b w:val="false"/>
          <w:i w:val="false"/>
          <w:color w:val="000000"/>
          <w:sz w:val="22"/>
        </w:rPr>
        <w:t> </w:t>
      </w:r>
      <w:r>
        <w:rPr>
          <w:rFonts w:ascii="Times New Roman" w:hAnsi="Times New Roman"/>
          <w:b w:val="false"/>
          <w:i/>
          <w:color w:val="000000"/>
          <w:sz w:val="22"/>
        </w:rPr>
        <w:t xml:space="preserve">Media organization defined. </w:t>
      </w:r>
      <w:r>
        <w:rPr>
          <w:rFonts w:ascii="Times New Roman" w:hAnsi="Times New Roman"/>
          <w:b w:val="false"/>
          <w:i w:val="false"/>
          <w:color w:val="000000"/>
          <w:sz w:val="22"/>
        </w:rPr>
        <w:t>“Media organization” means a broadcaster, cable television operator, television programmer, television producer, bona fide newspaper, magazine, or any other periodical publication. The media organization shall not be owned or controlled by a political party, political committee, or candidate.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4.51(2)</w:t>
      </w:r>
      <w:r>
        <w:rPr>
          <w:rFonts w:ascii="Times New Roman" w:hAnsi="Times New Roman"/>
          <w:b w:val="false"/>
          <w:i w:val="false"/>
          <w:color w:val="000000"/>
          <w:sz w:val="22"/>
        </w:rPr>
        <w:t> </w:t>
      </w:r>
      <w:r>
        <w:rPr>
          <w:rFonts w:ascii="Times New Roman" w:hAnsi="Times New Roman"/>
          <w:b w:val="false"/>
          <w:i/>
          <w:color w:val="000000"/>
          <w:sz w:val="22"/>
        </w:rPr>
        <w:t xml:space="preserve">Debate structure. </w:t>
      </w:r>
      <w:r>
        <w:rPr>
          <w:rFonts w:ascii="Times New Roman" w:hAnsi="Times New Roman"/>
          <w:b w:val="false"/>
          <w:i w:val="false"/>
          <w:color w:val="000000"/>
          <w:sz w:val="22"/>
        </w:rPr>
        <w:t>The structure of the debate shall be left to the discretion of the media organization provided that at least two or more candidates for the particular office are invited to participate. The debate shall not be structured to promote or advance one candidate over another. In choosing which candidates to invite to a debate, the media organization shall use good faith editorial judgment that is reasonable and viewpoint-neutral.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4.51(3)</w:t>
      </w:r>
      <w:r>
        <w:rPr>
          <w:rFonts w:ascii="Times New Roman" w:hAnsi="Times New Roman"/>
          <w:b w:val="false"/>
          <w:i w:val="false"/>
          <w:color w:val="000000"/>
          <w:sz w:val="22"/>
        </w:rPr>
        <w:t> </w:t>
      </w:r>
      <w:r>
        <w:rPr>
          <w:rFonts w:ascii="Times New Roman" w:hAnsi="Times New Roman"/>
          <w:b w:val="false"/>
          <w:i/>
          <w:color w:val="000000"/>
          <w:sz w:val="22"/>
        </w:rPr>
        <w:t xml:space="preserve">Funding debates. </w:t>
      </w:r>
      <w:r>
        <w:rPr>
          <w:rFonts w:ascii="Times New Roman" w:hAnsi="Times New Roman"/>
          <w:b w:val="false"/>
          <w:i w:val="false"/>
          <w:color w:val="000000"/>
          <w:sz w:val="22"/>
        </w:rPr>
        <w:t>A media organization may use its own funds and may accept funds donated by corporations to defray costs incurred in staging a candidate debate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4.51(4)</w:t>
      </w:r>
      <w:r>
        <w:rPr>
          <w:rFonts w:ascii="Times New Roman" w:hAnsi="Times New Roman"/>
          <w:b w:val="false"/>
          <w:i w:val="false"/>
          <w:color w:val="000000"/>
          <w:sz w:val="22"/>
        </w:rPr>
        <w:t> </w:t>
      </w:r>
      <w:r>
        <w:rPr>
          <w:rFonts w:ascii="Times New Roman" w:hAnsi="Times New Roman"/>
          <w:b w:val="false"/>
          <w:i/>
          <w:color w:val="000000"/>
          <w:sz w:val="22"/>
        </w:rPr>
        <w:t xml:space="preserve">Contribution reporting inapplicable. </w:t>
      </w:r>
      <w:r>
        <w:rPr>
          <w:rFonts w:ascii="Times New Roman" w:hAnsi="Times New Roman"/>
          <w:b w:val="false"/>
          <w:i w:val="false"/>
          <w:color w:val="000000"/>
          <w:sz w:val="22"/>
        </w:rPr>
        <w:t xml:space="preserve">The costs of a debate under this rule are not a reportable monetary or in-kind contribution under Iowa Code section </w:t>
      </w:r>
      <w:hyperlink r:id="rId187">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8">
        <w:r>
          <w:rPr>
            <w:rStyle w:val="Hyperlink"/>
            <w:rFonts w:ascii="Times New Roman" w:hAnsi="Times New Roman"/>
            <w:b w:val="false"/>
            <w:i w:val="false"/>
            <w:color w:val="000000"/>
            <w:sz w:val="22"/>
          </w:rPr>
          <w:t>68A.402</w:t>
        </w:r>
      </w:hyperlink>
      <w:r>
        <w:rPr>
          <w:rFonts w:ascii="Times New Roman" w:hAnsi="Times New Roman"/>
          <w:b w:val="false"/>
          <w:i w:val="false"/>
          <w:color w:val="000000"/>
          <w:sz w:val="22"/>
        </w:rPr>
        <w:t xml:space="preserve"> and </w:t>
      </w:r>
      <w:hyperlink r:id="rId189">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351—4.52</w:t>
      </w:r>
      <w:r>
        <w:rPr>
          <w:rFonts w:ascii="Times New Roman" w:hAnsi="Times New Roman"/>
          <w:b/>
          <w:i w:val="false"/>
          <w:color w:val="000000"/>
          <w:sz w:val="22"/>
        </w:rPr>
        <w:t xml:space="preserve">(68A,68B) </w:t>
      </w:r>
      <w:r>
        <w:rPr>
          <w:rFonts w:ascii="Times New Roman" w:hAnsi="Times New Roman"/>
          <w:b/>
          <w:i w:val="false"/>
          <w:color w:val="000000"/>
          <w:sz w:val="22"/>
        </w:rPr>
        <w:t xml:space="preserve">Corporate involvement with political committee 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4.52(1)</w:t>
      </w:r>
      <w:r>
        <w:rPr>
          <w:rFonts w:ascii="Times New Roman" w:hAnsi="Times New Roman"/>
          <w:b w:val="false"/>
          <w:i w:val="false"/>
          <w:color w:val="000000"/>
          <w:sz w:val="22"/>
        </w:rPr>
        <w:t> </w:t>
      </w:r>
      <w:r>
        <w:rPr>
          <w:rFonts w:ascii="Times New Roman" w:hAnsi="Times New Roman"/>
          <w:b w:val="false"/>
          <w:i/>
          <w:color w:val="000000"/>
          <w:sz w:val="22"/>
        </w:rPr>
        <w:t xml:space="preserve">Corporate payroll deductions. </w:t>
      </w:r>
      <w:r>
        <w:rPr>
          <w:rFonts w:ascii="Times New Roman" w:hAnsi="Times New Roman"/>
          <w:b w:val="false"/>
          <w:i w:val="false"/>
          <w:color w:val="000000"/>
          <w:sz w:val="22"/>
        </w:rPr>
        <w:t xml:space="preserve">For purposes of interpretation of Iowa Code section </w:t>
      </w:r>
      <w:hyperlink r:id="rId190">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 the administrative functions performed by a corporation (profit or nonprofit corporation including, but not limited to, a bank, savings and loan institution, credit union or insurance company) to make payroll deductions for an employee organization’s political committee and to transmit the deductions in lump sum to the treasurer of the political committee shall not be a prohibited corporate activity so long as the corporate entity is serving only as a conduit for the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4.52(2)</w:t>
      </w:r>
      <w:r>
        <w:rPr>
          <w:rFonts w:ascii="Times New Roman" w:hAnsi="Times New Roman"/>
          <w:b w:val="false"/>
          <w:i w:val="false"/>
          <w:color w:val="000000"/>
          <w:sz w:val="22"/>
        </w:rPr>
        <w:t> </w:t>
      </w:r>
      <w:r>
        <w:rPr>
          <w:rFonts w:ascii="Times New Roman" w:hAnsi="Times New Roman"/>
          <w:b w:val="false"/>
          <w:i/>
          <w:color w:val="000000"/>
          <w:sz w:val="22"/>
        </w:rPr>
        <w:t xml:space="preserve">Electronic transfer of deposits. </w:t>
      </w:r>
      <w:r>
        <w:rPr>
          <w:rFonts w:ascii="Times New Roman" w:hAnsi="Times New Roman"/>
          <w:b w:val="false"/>
          <w:i w:val="false"/>
          <w:color w:val="000000"/>
          <w:sz w:val="22"/>
        </w:rPr>
        <w:t xml:space="preserve">A corporation, financial institution, or insurance company may receive and deposit checks that include both dues and PAC contributions. Contributions for the PAC shall be transferred as soon as possible into the PAC checking account and all disclosure, record-keeping, and record-retention requirements of Iowa Code chapter </w:t>
      </w:r>
      <w:hyperlink r:id="rId191">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shall be followed.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4.52(3)</w:t>
      </w:r>
      <w:r>
        <w:rPr>
          <w:rFonts w:ascii="Times New Roman" w:hAnsi="Times New Roman"/>
          <w:b w:val="false"/>
          <w:i w:val="false"/>
          <w:color w:val="000000"/>
          <w:sz w:val="22"/>
        </w:rPr>
        <w:t> </w:t>
      </w:r>
      <w:r>
        <w:rPr>
          <w:rFonts w:ascii="Times New Roman" w:hAnsi="Times New Roman"/>
          <w:b w:val="false"/>
          <w:i/>
          <w:color w:val="000000"/>
          <w:sz w:val="22"/>
        </w:rPr>
        <w:t xml:space="preserve">Allowable costs of administration. </w:t>
      </w:r>
      <w:r>
        <w:rPr>
          <w:rFonts w:ascii="Times New Roman" w:hAnsi="Times New Roman"/>
          <w:b w:val="false"/>
          <w:i w:val="false"/>
          <w:color w:val="000000"/>
          <w:sz w:val="22"/>
        </w:rPr>
        <w:t xml:space="preserve">For the purposes of interpreting Iowa Code section </w:t>
      </w:r>
      <w:hyperlink r:id="rId192">
        <w:r>
          <w:rPr>
            <w:rStyle w:val="Hyperlink"/>
            <w:rFonts w:ascii="Times New Roman" w:hAnsi="Times New Roman"/>
            <w:b w:val="false"/>
            <w:i w:val="false"/>
            <w:color w:val="000000"/>
            <w:sz w:val="22"/>
          </w:rPr>
          <w:t>68A.503(3)</w:t>
        </w:r>
      </w:hyperlink>
      <w:r>
        <w:rPr>
          <w:rFonts w:ascii="Times New Roman" w:hAnsi="Times New Roman"/>
          <w:b w:val="false"/>
          <w:i w:val="false"/>
          <w:color w:val="000000"/>
          <w:sz w:val="22"/>
        </w:rPr>
        <w:t>, which permits an entity otherwise forbidden from contributing to a candidate or a candidate’s committee for “financing the administration of a political committee sponsored by that entity,” the following are considered to be allowable costs of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 or partial compensation for political committee staff, which may include both wages and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Expenses of transportation and travel incurred by political committee staff; however, this does not include expenses of transportation or travel if provided by a political committee or a staff member to a candidate, nor does this include expenses of meals or events held on behalf of a candidate.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Printing and office supplies related to routine office administration so long as the printing and supplies are not used to expressly advocate for or against any candidate.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Postage and stationery, including that necessary for mailing contributions to specific candidates. Postage and stationery necessary for distributing political material expressly advocating a specific candidate to persons other than the committee membership are not permitted.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Expenses of maintaining committee records and preparing financial disclosure reports, including costs associated with services provided by an accountant or other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Promotional materials, such as stickers, pens, and coffee cups, so long as the items promote the political committee itself, but not a specific candidate.</w:t>
      </w:r>
    </w:p>
    <w:p>
      <w:pPr>
        <w:spacing w:before="0" w:after="0"/>
        <w:ind w:left="120"/>
        <w:jc w:val="both"/>
      </w:pPr>
      <w:r>
        <w:rPr>
          <w:rFonts w:ascii="Times New Roman" w:hAnsi="Times New Roman"/>
          <w:b w:val="false"/>
          <w:i w:val="false"/>
          <w:color w:val="000000"/>
          <w:sz w:val="22"/>
        </w:rPr>
        <w:t>An item which is excluded by this subrule from being an allowable cost of administration may still be provided by the committee, so long as that cost is paid for from contributions or other sources of funds other than the parent entity.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3">
        <w:r>
          <w:rPr>
            <w:rStyle w:val="Hyperlink"/>
            <w:rFonts w:ascii="Times New Roman" w:hAnsi="Times New Roman"/>
            <w:b w:val="false"/>
            <w:i w:val="false"/>
            <w:color w:val="000000"/>
            <w:sz w:val="22"/>
          </w:rPr>
          <w:t>68A.503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INDEPENDENT EXPENDITURES AND IN-KIND CONTRIBUTIONS</w:t>
      </w:r>
    </w:p>
    <w:p>
      <w:pPr>
        <w:spacing w:before="0" w:after="0"/>
        <w:ind w:left="120"/>
        <w:jc w:val="both"/>
      </w:pPr>
      <w:r>
        <w:rPr>
          <w:rFonts w:ascii="Times New Roman" w:hAnsi="Times New Roman"/>
          <w:b/>
          <w:i w:val="false"/>
          <w:color w:val="000000"/>
          <w:sz w:val="22"/>
        </w:rPr>
        <w:t>351—4.53</w:t>
      </w:r>
      <w:r>
        <w:rPr>
          <w:rFonts w:ascii="Times New Roman" w:hAnsi="Times New Roman"/>
          <w:b/>
          <w:i w:val="false"/>
          <w:color w:val="000000"/>
          <w:sz w:val="22"/>
        </w:rPr>
        <w:t xml:space="preserve">(68A,68B) </w:t>
      </w:r>
      <w:r>
        <w:rPr>
          <w:rFonts w:ascii="Times New Roman" w:hAnsi="Times New Roman"/>
          <w:b/>
          <w:i w:val="false"/>
          <w:color w:val="000000"/>
          <w:sz w:val="22"/>
        </w:rPr>
        <w:t xml:space="preserve">Express advocacy; in-kind contributions; independent expenditures— definitions. </w:t>
      </w:r>
      <w:r>
        <w:rPr>
          <w:rFonts w:ascii="Times New Roman" w:hAnsi="Times New Roman"/>
          <w:b w:val="false"/>
          <w:i w:val="false"/>
          <w:color w:val="000000"/>
          <w:sz w:val="22"/>
        </w:rPr>
        <w:t xml:space="preserve">For the purposes of Iowa Code chapter </w:t>
      </w:r>
      <w:hyperlink r:id="rId194">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4.53(1)</w:t>
      </w:r>
      <w:r>
        <w:rPr>
          <w:rFonts w:ascii="Times New Roman" w:hAnsi="Times New Roman"/>
          <w:b w:val="false"/>
          <w:i w:val="false"/>
          <w:color w:val="000000"/>
          <w:sz w:val="22"/>
        </w:rPr>
        <w:t> </w:t>
      </w:r>
      <w:r>
        <w:rPr>
          <w:rFonts w:ascii="Times New Roman" w:hAnsi="Times New Roman"/>
          <w:b w:val="false"/>
          <w:i/>
          <w:color w:val="000000"/>
          <w:sz w:val="22"/>
        </w:rPr>
        <w:t xml:space="preserve">Express advocacy. </w:t>
      </w:r>
      <w:r>
        <w:rPr>
          <w:rFonts w:ascii="Times New Roman" w:hAnsi="Times New Roman"/>
          <w:b w:val="false"/>
          <w:i w:val="false"/>
          <w:color w:val="000000"/>
          <w:sz w:val="22"/>
        </w:rPr>
        <w:t xml:space="preserve">“Express advocacy” means any communication as defined in Iowa Code section </w:t>
      </w:r>
      <w:hyperlink r:id="rId195">
        <w:r>
          <w:rPr>
            <w:rStyle w:val="Hyperlink"/>
            <w:rFonts w:ascii="Times New Roman" w:hAnsi="Times New Roman"/>
            <w:b w:val="false"/>
            <w:i w:val="false"/>
            <w:color w:val="000000"/>
            <w:sz w:val="22"/>
          </w:rPr>
          <w:t>68A.102(14)</w:t>
        </w:r>
      </w:hyperlink>
      <w:r>
        <w:rPr>
          <w:rFonts w:ascii="Times New Roman" w:hAnsi="Times New Roman"/>
          <w:b w:val="false"/>
          <w:i w:val="false"/>
          <w:color w:val="000000"/>
          <w:sz w:val="22"/>
        </w:rPr>
        <w:t>. “Express advocacy” includes a communication that uses any word, term, phrase, or symbol that exhorts an individual to vote for or against a clearly identified candidate or for the passage or defeat of a clearly identified ballot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4.53(2)</w:t>
      </w:r>
      <w:r>
        <w:rPr>
          <w:rFonts w:ascii="Times New Roman" w:hAnsi="Times New Roman"/>
          <w:b w:val="false"/>
          <w:i w:val="false"/>
          <w:color w:val="000000"/>
          <w:sz w:val="22"/>
        </w:rPr>
        <w:t> </w:t>
      </w:r>
      <w:r>
        <w:rPr>
          <w:rFonts w:ascii="Times New Roman" w:hAnsi="Times New Roman"/>
          <w:b w:val="false"/>
          <w:i/>
          <w:color w:val="000000"/>
          <w:sz w:val="22"/>
        </w:rPr>
        <w:t xml:space="preserve">In-kind contribution. </w:t>
      </w:r>
      <w:r>
        <w:rPr>
          <w:rFonts w:ascii="Times New Roman" w:hAnsi="Times New Roman"/>
          <w:b w:val="false"/>
          <w:i w:val="false"/>
          <w:color w:val="000000"/>
          <w:sz w:val="22"/>
        </w:rPr>
        <w:t xml:space="preserve">“In-kind contribution” means the provision of any good or service to a committee without charge or at a charge that is less than the usual and normal charge for such good or service. If a good or service is provided at less than the usual and normal charge, the amount of the in-kind contribution is the difference between the usual and normal charge for the good or service at the time of the contribution and the amount charged the committee. An in-kind contribution also includes any expenditure that meets the definition of a coordinated expenditure in subrule </w:t>
      </w:r>
      <w:hyperlink r:id="rId196">
        <w:r>
          <w:rPr>
            <w:rStyle w:val="Hyperlink"/>
            <w:rFonts w:ascii="Times New Roman" w:hAnsi="Times New Roman"/>
            <w:b w:val="false"/>
            <w:i w:val="false"/>
            <w:color w:val="000000"/>
            <w:sz w:val="22"/>
          </w:rPr>
          <w:t>4.53(4)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4.53(3)</w:t>
      </w:r>
      <w:r>
        <w:rPr>
          <w:rFonts w:ascii="Times New Roman" w:hAnsi="Times New Roman"/>
          <w:b w:val="false"/>
          <w:i w:val="false"/>
          <w:color w:val="000000"/>
          <w:sz w:val="22"/>
        </w:rPr>
        <w:t> </w:t>
      </w:r>
      <w:r>
        <w:rPr>
          <w:rFonts w:ascii="Times New Roman" w:hAnsi="Times New Roman"/>
          <w:b w:val="false"/>
          <w:i/>
          <w:color w:val="000000"/>
          <w:sz w:val="22"/>
        </w:rPr>
        <w:t xml:space="preserve">Independent expenditure. </w:t>
      </w:r>
      <w:r>
        <w:rPr>
          <w:rFonts w:ascii="Times New Roman" w:hAnsi="Times New Roman"/>
          <w:b w:val="false"/>
          <w:i w:val="false"/>
          <w:color w:val="000000"/>
          <w:sz w:val="22"/>
        </w:rPr>
        <w:t xml:space="preserve">“Independent expenditure” means “independent expenditure” as defined in Iowa Code section </w:t>
      </w:r>
      <w:hyperlink r:id="rId197">
        <w:r>
          <w:rPr>
            <w:rStyle w:val="Hyperlink"/>
            <w:rFonts w:ascii="Times New Roman" w:hAnsi="Times New Roman"/>
            <w:b w:val="false"/>
            <w:i w:val="false"/>
            <w:color w:val="000000"/>
            <w:sz w:val="22"/>
          </w:rPr>
          <w:t>68A.404(1)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4.53(4)</w:t>
      </w:r>
      <w:r>
        <w:rPr>
          <w:rFonts w:ascii="Times New Roman" w:hAnsi="Times New Roman"/>
          <w:b w:val="false"/>
          <w:i w:val="false"/>
          <w:color w:val="000000"/>
          <w:sz w:val="22"/>
        </w:rPr>
        <w:t> </w:t>
      </w:r>
      <w:r>
        <w:rPr>
          <w:rFonts w:ascii="Times New Roman" w:hAnsi="Times New Roman"/>
          <w:b w:val="false"/>
          <w:i/>
          <w:color w:val="000000"/>
          <w:sz w:val="22"/>
        </w:rPr>
        <w:t xml:space="preserve">Coordinated expenditure.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“Coordinated expenditure” means an expenditure made with the knowledge and approval of a candidate, candidate’s committee, political party committee, or political committee. “Coordinated expenditure” also means that there has been arrangement, coordination, or direction by the candidate, candidate’s committee, political party committee, or political committee, or an agent or officer of the candidate’s committee or a ballot issue committee prior to the procurement or purchase of the good or service, or the publication, distribution, display, or broadcast of an express advocacy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expenditure will be presumed to be coordinated when it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Based on information provided to the expending person by the candidate, the candidate’s committee, or the ballot issue committee with a view toward having an expenditure made;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Made by or through any person who is or has been authorized to raise or expend funds; who is or has been an officer of the candidate’s committee or the ballot issue committee; or who is or has been receiving any form of compensation or reimbursement from the candidate, the candidate’s committee, or the ballot issue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98">
        <w:r>
          <w:rPr>
            <w:rStyle w:val="Hyperlink"/>
            <w:rFonts w:ascii="Times New Roman" w:hAnsi="Times New Roman"/>
            <w:b w:val="false"/>
            <w:i w:val="false"/>
            <w:color w:val="000000"/>
            <w:sz w:val="22"/>
          </w:rPr>
          <w:t>68A.404(7)</w:t>
        </w:r>
      </w:hyperlink>
      <w:r>
        <w:rPr>
          <w:rFonts w:ascii="Times New Roman" w:hAnsi="Times New Roman"/>
          <w:b w:val="false"/>
          <w:i w:val="false"/>
          <w:color w:val="000000"/>
          <w:sz w:val="22"/>
        </w:rPr>
        <w:t>, a person making an independent expenditure shall not engage or retain an advertising firm or consultant that has also been engaged or retained within the prior six months by the candidate, candidate’s committee, or ballot issue PAC that is benefited by the independent expenditure. “Engage or retain” shall not include the purchase of goods or products from an advertising firm or consultant when the advertising firm or consultant does not provide guidance, assistance, or advice to the person making the purchase concerning the good or product.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9">
        <w:r>
          <w:rPr>
            <w:rStyle w:val="Hyperlink"/>
            <w:rFonts w:ascii="Times New Roman" w:hAnsi="Times New Roman"/>
            <w:b w:val="false"/>
            <w:i w:val="false"/>
            <w:color w:val="000000"/>
            <w:sz w:val="22"/>
          </w:rPr>
          <w:t>68A.404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8826B</w:t>
      </w:r>
      <w:r>
        <w:rPr>
          <w:rFonts w:ascii="Times New Roman" w:hAnsi="Times New Roman"/>
          <w:b w:val="false"/>
          <w:i w:val="false"/>
          <w:color w:val="000000"/>
          <w:sz w:val="16"/>
        </w:rPr>
        <w:t>, IAB 6/2/10, effective 5/17/10</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VI</w:t>
      </w:r>
    </w:p>
    <w:p>
      <w:pPr>
        <w:pBdr>
          <w:bottom w:space="10"/>
        </w:pBdr>
        <w:spacing w:before="0" w:after="0"/>
        <w:ind w:left="120"/>
        <w:jc w:val="center"/>
      </w:pPr>
      <w:r>
        <w:rPr>
          <w:rFonts w:ascii="Times New Roman" w:hAnsi="Times New Roman"/>
          <w:b w:val="false"/>
          <w:i w:val="false"/>
          <w:color w:val="000000"/>
          <w:sz w:val="16"/>
        </w:rPr>
        <w:t>COMMITTEE DISSOLUTION</w:t>
      </w:r>
    </w:p>
    <w:p>
      <w:pPr>
        <w:spacing w:before="0" w:after="0"/>
        <w:ind w:left="120"/>
        <w:jc w:val="both"/>
      </w:pPr>
      <w:r>
        <w:rPr>
          <w:rFonts w:ascii="Times New Roman" w:hAnsi="Times New Roman"/>
          <w:b/>
          <w:i w:val="false"/>
          <w:color w:val="000000"/>
          <w:sz w:val="22"/>
        </w:rPr>
        <w:t>351—4.54</w:t>
      </w:r>
      <w:r>
        <w:rPr>
          <w:rFonts w:ascii="Times New Roman" w:hAnsi="Times New Roman"/>
          <w:b/>
          <w:i w:val="false"/>
          <w:color w:val="000000"/>
          <w:sz w:val="22"/>
        </w:rPr>
        <w:t xml:space="preserve">(68A) </w:t>
      </w:r>
      <w:r>
        <w:rPr>
          <w:rFonts w:ascii="Times New Roman" w:hAnsi="Times New Roman"/>
          <w:b/>
          <w:i w:val="false"/>
          <w:color w:val="000000"/>
          <w:sz w:val="22"/>
        </w:rPr>
        <w:t xml:space="preserve">Committee dissolution; disposition of property; resolution of loans or debts. </w:t>
      </w:r>
      <w:r>
        <w:rPr>
          <w:rFonts w:ascii="Times New Roman" w:hAnsi="Times New Roman"/>
          <w:b w:val="false"/>
          <w:i w:val="false"/>
          <w:color w:val="000000"/>
          <w:sz w:val="22"/>
        </w:rPr>
        <w:t xml:space="preserve">A committee shall not dissolve until all loans and debts are paid, forgiven, or transferred, and the remaining funds in the committee’s campaign account are distributed according to Iowa Code sections </w:t>
      </w:r>
      <w:hyperlink r:id="rId200">
        <w:r>
          <w:rPr>
            <w:rStyle w:val="Hyperlink"/>
            <w:rFonts w:ascii="Times New Roman" w:hAnsi="Times New Roman"/>
            <w:b w:val="false"/>
            <w:i w:val="false"/>
            <w:color w:val="000000"/>
            <w:sz w:val="22"/>
          </w:rPr>
          <w:t>68A.302</w:t>
        </w:r>
      </w:hyperlink>
      <w:r>
        <w:rPr>
          <w:rFonts w:ascii="Times New Roman" w:hAnsi="Times New Roman"/>
          <w:b w:val="false"/>
          <w:i w:val="false"/>
          <w:color w:val="000000"/>
          <w:sz w:val="22"/>
        </w:rPr>
        <w:t xml:space="preserve"> and </w:t>
      </w:r>
      <w:hyperlink r:id="rId201">
        <w:r>
          <w:rPr>
            <w:rStyle w:val="Hyperlink"/>
            <w:rFonts w:ascii="Times New Roman" w:hAnsi="Times New Roman"/>
            <w:b w:val="false"/>
            <w:i w:val="false"/>
            <w:color w:val="000000"/>
            <w:sz w:val="22"/>
          </w:rPr>
          <w:t>68A.303</w:t>
        </w:r>
      </w:hyperlink>
      <w:r>
        <w:rPr>
          <w:rFonts w:ascii="Times New Roman" w:hAnsi="Times New Roman"/>
          <w:b w:val="false"/>
          <w:i w:val="false"/>
          <w:color w:val="000000"/>
          <w:sz w:val="22"/>
        </w:rPr>
        <w:t xml:space="preserve"> and rule </w:t>
      </w:r>
      <w:hyperlink r:id="rId202">
        <w:r>
          <w:rPr>
            <w:rStyle w:val="Hyperlink"/>
            <w:rFonts w:ascii="Times New Roman" w:hAnsi="Times New Roman"/>
            <w:b w:val="false"/>
            <w:i w:val="false"/>
            <w:color w:val="000000"/>
            <w:sz w:val="22"/>
          </w:rPr>
          <w:t>351—4.25</w:t>
        </w:r>
      </w:hyperlink>
      <w:r>
        <w:rPr>
          <w:rFonts w:ascii="Times New Roman" w:hAnsi="Times New Roman"/>
          <w:b w:val="false"/>
          <w:i w:val="false"/>
          <w:color w:val="000000"/>
          <w:sz w:val="22"/>
        </w:rPr>
        <w:t>(68A,68B). In the case of a candidate’s committee, the disposition of all campaign property with a residual value of $100 or more must be accomplished before dissolution.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4.54(1)</w:t>
      </w:r>
      <w:r>
        <w:rPr>
          <w:rFonts w:ascii="Times New Roman" w:hAnsi="Times New Roman"/>
          <w:b w:val="false"/>
          <w:i w:val="false"/>
          <w:color w:val="000000"/>
          <w:sz w:val="22"/>
        </w:rPr>
        <w:t> </w:t>
      </w:r>
      <w:r>
        <w:rPr>
          <w:rFonts w:ascii="Times New Roman" w:hAnsi="Times New Roman"/>
          <w:b w:val="false"/>
          <w:i/>
          <w:color w:val="000000"/>
          <w:sz w:val="22"/>
        </w:rPr>
        <w:t xml:space="preserve">Manner of disposition—candidates’ committees. </w:t>
      </w:r>
      <w:r>
        <w:rPr>
          <w:rFonts w:ascii="Times New Roman" w:hAnsi="Times New Roman"/>
          <w:b w:val="false"/>
          <w:i w:val="false"/>
          <w:color w:val="000000"/>
          <w:sz w:val="22"/>
        </w:rPr>
        <w:t xml:space="preserve">A candidate’s committee shall dispose of campaign property with a residual value of $100 or more through a sale of the property at fair market value, with proceeds treated as any other campaign funds, or through donation of the property as set out in Iowa Code section </w:t>
      </w:r>
      <w:hyperlink r:id="rId203">
        <w:r>
          <w:rPr>
            <w:rStyle w:val="Hyperlink"/>
            <w:rFonts w:ascii="Times New Roman" w:hAnsi="Times New Roman"/>
            <w:b w:val="false"/>
            <w:i w:val="false"/>
            <w:color w:val="000000"/>
            <w:sz w:val="22"/>
          </w:rPr>
          <w:t>68A.303(1)</w:t>
        </w:r>
      </w:hyperlink>
      <w:r>
        <w:rPr>
          <w:rFonts w:ascii="Times New Roman" w:hAnsi="Times New Roman"/>
          <w:b w:val="false"/>
          <w:i w:val="false"/>
          <w:color w:val="000000"/>
          <w:sz w:val="22"/>
        </w:rPr>
        <w:t>. The candidate’s committee shall disclose on the committee’s campaign report the manner of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4.54(2)</w:t>
      </w:r>
      <w:r>
        <w:rPr>
          <w:rFonts w:ascii="Times New Roman" w:hAnsi="Times New Roman"/>
          <w:b w:val="false"/>
          <w:i w:val="false"/>
          <w:color w:val="000000"/>
          <w:sz w:val="22"/>
        </w:rPr>
        <w:t> </w:t>
      </w:r>
      <w:r>
        <w:rPr>
          <w:rFonts w:ascii="Times New Roman" w:hAnsi="Times New Roman"/>
          <w:b w:val="false"/>
          <w:i/>
          <w:color w:val="000000"/>
          <w:sz w:val="22"/>
        </w:rPr>
        <w:t xml:space="preserve">Resolution of loans and debts. </w:t>
      </w:r>
      <w:r>
        <w:rPr>
          <w:rFonts w:ascii="Times New Roman" w:hAnsi="Times New Roman"/>
          <w:b w:val="false"/>
          <w:i w:val="false"/>
          <w:color w:val="000000"/>
          <w:sz w:val="22"/>
        </w:rPr>
        <w:t>The loans and debts of a committee may be transferred, assumed, or forgiven except that a loan or debt owed to a financial institution, insurance company, or corporation may not be forgiven unless the committee is a ballot issue committee. The committee shall disclose on the committee’s campaign report the transfer, assumption, or forgiveness of a loan or debt on the appropriate reporting schedules.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4.54(3)</w:t>
      </w:r>
      <w:r>
        <w:rPr>
          <w:rFonts w:ascii="Times New Roman" w:hAnsi="Times New Roman"/>
          <w:b w:val="false"/>
          <w:i w:val="false"/>
          <w:color w:val="000000"/>
          <w:sz w:val="22"/>
        </w:rPr>
        <w:t> </w:t>
      </w:r>
      <w:r>
        <w:rPr>
          <w:rFonts w:ascii="Times New Roman" w:hAnsi="Times New Roman"/>
          <w:b w:val="false"/>
          <w:i/>
          <w:color w:val="000000"/>
          <w:sz w:val="22"/>
        </w:rPr>
        <w:t xml:space="preserve">Settlement of disputed loans and debts. </w:t>
      </w:r>
      <w:r>
        <w:rPr>
          <w:rFonts w:ascii="Times New Roman" w:hAnsi="Times New Roman"/>
          <w:b w:val="false"/>
          <w:i w:val="false"/>
          <w:color w:val="000000"/>
          <w:sz w:val="22"/>
        </w:rPr>
        <w:t>A dispute concerning a loan or debt may be resolved for less than the original amount if the committee discloses on the committee’s campaign report the resolution of the dispute. If the dispute is between a candidate’s committee and a financial institution, insurance company, or corporation, the candidate’s committee shall submit a written statement to the board describing the loan or debt, the controversy, and the steps taken to settle or collect the loan or debt. The board will review the statement and determine whether to permit the candidate’s committee to report the loan or debt as discharged.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4.54(4)</w:t>
      </w:r>
      <w:r>
        <w:rPr>
          <w:rFonts w:ascii="Times New Roman" w:hAnsi="Times New Roman"/>
          <w:b w:val="false"/>
          <w:i w:val="false"/>
          <w:color w:val="000000"/>
          <w:sz w:val="22"/>
        </w:rPr>
        <w:t> </w:t>
      </w:r>
      <w:r>
        <w:rPr>
          <w:rFonts w:ascii="Times New Roman" w:hAnsi="Times New Roman"/>
          <w:b w:val="false"/>
          <w:i/>
          <w:color w:val="000000"/>
          <w:sz w:val="22"/>
        </w:rPr>
        <w:t xml:space="preserve">Unavailable creditor. </w:t>
      </w:r>
      <w:r>
        <w:rPr>
          <w:rFonts w:ascii="Times New Roman" w:hAnsi="Times New Roman"/>
          <w:b w:val="false"/>
          <w:i w:val="false"/>
          <w:color w:val="000000"/>
          <w:sz w:val="22"/>
        </w:rPr>
        <w:t>If the committee cannot locate a person to whom it owes a loan or debt, the committee shall provide the board with a written statement describing the steps the committee has taken to locate the creditor and shall request direction from the board as to what additional steps, if any, should be taken. If a candidate’s committee owes a loan or debt to a financial institution, insurance company, or corporation, resolution of the matter shall include payment to a charitable organization or the general fund of the state of Iowa.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4">
        <w:r>
          <w:rPr>
            <w:rStyle w:val="Hyperlink"/>
            <w:rFonts w:ascii="Times New Roman" w:hAnsi="Times New Roman"/>
            <w:b w:val="false"/>
            <w:i w:val="false"/>
            <w:color w:val="000000"/>
            <w:sz w:val="22"/>
          </w:rPr>
          <w:t>68A.402B</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351—4.55</w:t>
      </w:r>
      <w:r>
        <w:rPr>
          <w:rFonts w:ascii="Times New Roman" w:hAnsi="Times New Roman"/>
          <w:b/>
          <w:i w:val="false"/>
          <w:color w:val="000000"/>
          <w:sz w:val="22"/>
        </w:rPr>
        <w:t xml:space="preserve">(68A) </w:t>
      </w:r>
      <w:r>
        <w:rPr>
          <w:rFonts w:ascii="Times New Roman" w:hAnsi="Times New Roman"/>
          <w:b/>
          <w:i w:val="false"/>
          <w:color w:val="000000"/>
          <w:sz w:val="22"/>
        </w:rPr>
        <w:t xml:space="preserve">Statement of dissolution; final report; final bank statement.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4.55(1)</w:t>
      </w:r>
      <w:r>
        <w:rPr>
          <w:rFonts w:ascii="Times New Roman" w:hAnsi="Times New Roman"/>
          <w:b w:val="false"/>
          <w:i w:val="false"/>
          <w:color w:val="000000"/>
          <w:sz w:val="22"/>
        </w:rPr>
        <w:t> </w:t>
      </w:r>
      <w:r>
        <w:rPr>
          <w:rFonts w:ascii="Times New Roman" w:hAnsi="Times New Roman"/>
          <w:b w:val="false"/>
          <w:i/>
          <w:color w:val="000000"/>
          <w:sz w:val="22"/>
        </w:rPr>
        <w:t xml:space="preserve">Statement of dissolution. </w:t>
      </w:r>
      <w:r>
        <w:rPr>
          <w:rFonts w:ascii="Times New Roman" w:hAnsi="Times New Roman"/>
          <w:b w:val="false"/>
          <w:i w:val="false"/>
          <w:color w:val="000000"/>
          <w:sz w:val="22"/>
        </w:rPr>
        <w:t xml:space="preserve">A statement of dissolution (Form DR-3) shall be filed after the committee terminates its activity, disposes of its funds and assets, and has discharged all of its loans and debts.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4.55(2)</w:t>
      </w:r>
      <w:r>
        <w:rPr>
          <w:rFonts w:ascii="Times New Roman" w:hAnsi="Times New Roman"/>
          <w:b w:val="false"/>
          <w:i w:val="false"/>
          <w:color w:val="000000"/>
          <w:sz w:val="22"/>
        </w:rPr>
        <w:t> </w:t>
      </w:r>
      <w:r>
        <w:rPr>
          <w:rFonts w:ascii="Times New Roman" w:hAnsi="Times New Roman"/>
          <w:b w:val="false"/>
          <w:i/>
          <w:color w:val="000000"/>
          <w:sz w:val="22"/>
        </w:rPr>
        <w:t xml:space="preserve">Place of filing. </w:t>
      </w:r>
      <w:r>
        <w:rPr>
          <w:rFonts w:ascii="Times New Roman" w:hAnsi="Times New Roman"/>
          <w:b w:val="false"/>
          <w:i w:val="false"/>
          <w:color w:val="000000"/>
          <w:sz w:val="22"/>
        </w:rPr>
        <w:t xml:space="preserve">Statements of dissolution shall be filed through the board’s website at </w:t>
      </w:r>
      <w:hyperlink r:id="rId205">
        <w:r>
          <w:rPr>
            <w:rStyle w:val="Hyperlink"/>
            <w:rFonts w:ascii="Times New Roman" w:hAnsi="Times New Roman"/>
            <w:b w:val="false"/>
            <w:i w:val="false"/>
            <w:color w:val="000000"/>
            <w:sz w:val="22"/>
            <w:u w:val="single"/>
          </w:rPr>
          <w:t>ethics.iowa.gov</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4.55(3)</w:t>
      </w:r>
      <w:r>
        <w:rPr>
          <w:rFonts w:ascii="Times New Roman" w:hAnsi="Times New Roman"/>
          <w:b w:val="false"/>
          <w:i w:val="false"/>
          <w:color w:val="000000"/>
          <w:sz w:val="22"/>
        </w:rPr>
        <w:t> </w:t>
      </w:r>
      <w:r>
        <w:rPr>
          <w:rFonts w:ascii="Times New Roman" w:hAnsi="Times New Roman"/>
          <w:b w:val="false"/>
          <w:i/>
          <w:color w:val="000000"/>
          <w:sz w:val="22"/>
        </w:rPr>
        <w:t xml:space="preserve">Time of filing. </w:t>
      </w:r>
      <w:r>
        <w:rPr>
          <w:rFonts w:ascii="Times New Roman" w:hAnsi="Times New Roman"/>
          <w:b w:val="false"/>
          <w:i w:val="false"/>
          <w:color w:val="000000"/>
          <w:sz w:val="22"/>
        </w:rPr>
        <w:t>A committee seeking dissolution shall file a statement of dissolution within 30 days of terminating activity, disposing of funds and assets, and discharging all loans and debts. A statement must be submitted at or before 11:59 p.m.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on the required due date. If the due date falls on a Saturday, Sunday, or holiday on which the board office is closed, the due date is extended to the next working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4.55(4)</w:t>
      </w:r>
      <w:r>
        <w:rPr>
          <w:rFonts w:ascii="Times New Roman" w:hAnsi="Times New Roman"/>
          <w:b w:val="false"/>
          <w:i w:val="false"/>
          <w:color w:val="000000"/>
          <w:sz w:val="22"/>
        </w:rPr>
        <w:t> </w:t>
      </w:r>
      <w:r>
        <w:rPr>
          <w:rFonts w:ascii="Times New Roman" w:hAnsi="Times New Roman"/>
          <w:b w:val="false"/>
          <w:i/>
          <w:color w:val="000000"/>
          <w:sz w:val="22"/>
        </w:rPr>
        <w:t xml:space="preserve">Final report. </w:t>
      </w:r>
      <w:r>
        <w:rPr>
          <w:rFonts w:ascii="Times New Roman" w:hAnsi="Times New Roman"/>
          <w:b w:val="false"/>
          <w:i w:val="false"/>
          <w:color w:val="000000"/>
          <w:sz w:val="22"/>
        </w:rPr>
        <w:t xml:space="preserve">The committee shall file a final report disclosing the committee’s closing transactions. Once the board staff reviews the report and determines that the committee has complied with all of the requirements of Iowa Code chapter </w:t>
      </w:r>
      <w:hyperlink r:id="rId206">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xml:space="preserve">, the committee is no longer required to file campaign reports. If the board staff determines that the committee has not complied with all of the requirements of Iowa Code chapter </w:t>
      </w:r>
      <w:hyperlink r:id="rId207">
        <w:r>
          <w:rPr>
            <w:rStyle w:val="Hyperlink"/>
            <w:rFonts w:ascii="Times New Roman" w:hAnsi="Times New Roman"/>
            <w:b w:val="false"/>
            <w:i w:val="false"/>
            <w:color w:val="000000"/>
            <w:sz w:val="22"/>
          </w:rPr>
          <w:t>68A</w:t>
        </w:r>
      </w:hyperlink>
      <w:r>
        <w:rPr>
          <w:rFonts w:ascii="Times New Roman" w:hAnsi="Times New Roman"/>
          <w:b w:val="false"/>
          <w:i w:val="false"/>
          <w:color w:val="000000"/>
          <w:sz w:val="22"/>
        </w:rPr>
        <w:t>, the committee, prior to being dissolved, shall resolve all issues.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4.55(5)</w:t>
      </w:r>
      <w:r>
        <w:rPr>
          <w:rFonts w:ascii="Times New Roman" w:hAnsi="Times New Roman"/>
          <w:b w:val="false"/>
          <w:i w:val="false"/>
          <w:color w:val="000000"/>
          <w:sz w:val="22"/>
        </w:rPr>
        <w:t> </w:t>
      </w:r>
      <w:r>
        <w:rPr>
          <w:rFonts w:ascii="Times New Roman" w:hAnsi="Times New Roman"/>
          <w:b w:val="false"/>
          <w:i/>
          <w:color w:val="000000"/>
          <w:sz w:val="22"/>
        </w:rPr>
        <w:t xml:space="preserve">Final bank statement. </w:t>
      </w:r>
      <w:r>
        <w:rPr>
          <w:rFonts w:ascii="Times New Roman" w:hAnsi="Times New Roman"/>
          <w:b w:val="false"/>
          <w:i w:val="false"/>
          <w:color w:val="000000"/>
          <w:sz w:val="22"/>
        </w:rPr>
        <w:t xml:space="preserve">A copy of the committee’s final bank statement showing the committee’s closing transactions and a zero balance shall be attached to or submitted with the committee’s final report. A committee participating in an election at the county, city, school, or other political subdivision level, an independent expenditure committee, or a sole individual making an independent expenditure is not required to file a final bank statement unless requested to do so by the board. A committee seeking a waiver from the requirements of this subrule may do so in accordance with </w:t>
      </w:r>
      <w:hyperlink r:id="rId208">
        <w:r>
          <w:rPr>
            <w:rStyle w:val="Hyperlink"/>
            <w:rFonts w:ascii="Times New Roman" w:hAnsi="Times New Roman"/>
            <w:b w:val="false"/>
            <w:i w:val="false"/>
            <w:color w:val="000000"/>
            <w:sz w:val="22"/>
          </w:rPr>
          <w:t>351—Chapter 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9">
        <w:r>
          <w:rPr>
            <w:rStyle w:val="Hyperlink"/>
            <w:rFonts w:ascii="Times New Roman" w:hAnsi="Times New Roman"/>
            <w:b w:val="false"/>
            <w:i w:val="false"/>
            <w:color w:val="000000"/>
            <w:sz w:val="22"/>
          </w:rPr>
          <w:t>68A.402B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8826B</w:t>
      </w:r>
      <w:r>
        <w:rPr>
          <w:rFonts w:ascii="Times New Roman" w:hAnsi="Times New Roman"/>
          <w:b w:val="false"/>
          <w:i w:val="false"/>
          <w:color w:val="000000"/>
          <w:sz w:val="16"/>
        </w:rPr>
        <w:t>, IAB 6/2/10, effective 5/17/10</w:t>
      </w:r>
      <w:r>
        <w:rPr>
          <w:rFonts w:ascii="Times New Roman" w:hAnsi="Times New Roman"/>
          <w:b w:val="false"/>
          <w:i w:val="false"/>
          <w:color w:val="000000"/>
          <w:sz w:val="16"/>
        </w:rPr>
        <w:t xml:space="preserve">; </w:t>
      </w:r>
      <w:r>
        <w:rPr>
          <w:rFonts w:ascii="Times New Roman" w:hAnsi="Times New Roman"/>
          <w:b/>
          <w:i w:val="false"/>
          <w:color w:val="000000"/>
          <w:sz w:val="16"/>
        </w:rPr>
        <w:t>ARC 9031B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351—4.56</w:t>
      </w:r>
      <w:r>
        <w:rPr>
          <w:rFonts w:ascii="Times New Roman" w:hAnsi="Times New Roman"/>
          <w:b w:val="false"/>
          <w:i w:val="false"/>
          <w:color w:val="000000"/>
          <w:sz w:val="22"/>
        </w:rPr>
        <w:t xml:space="preserve"> and </w:t>
      </w:r>
      <w:r>
        <w:rPr>
          <w:rFonts w:ascii="Times New Roman" w:hAnsi="Times New Roman"/>
          <w:b/>
          <w:i w:val="false"/>
          <w:color w:val="000000"/>
          <w:sz w:val="22"/>
        </w:rPr>
        <w:t>4.57</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VII</w:t>
      </w:r>
    </w:p>
    <w:p>
      <w:pPr>
        <w:pBdr>
          <w:bottom w:space="10"/>
        </w:pBdr>
        <w:spacing w:before="0" w:after="0"/>
        <w:ind w:left="120"/>
        <w:jc w:val="center"/>
      </w:pPr>
      <w:r>
        <w:rPr>
          <w:rFonts w:ascii="Times New Roman" w:hAnsi="Times New Roman"/>
          <w:b w:val="false"/>
          <w:i w:val="false"/>
          <w:color w:val="000000"/>
          <w:sz w:val="16"/>
        </w:rPr>
        <w:t>CIVIL PENALTIES FOR LATE REPORTS</w:t>
      </w:r>
    </w:p>
    <w:p>
      <w:pPr>
        <w:spacing w:before="0" w:after="0"/>
        <w:ind w:left="120"/>
        <w:jc w:val="both"/>
      </w:pPr>
      <w:r>
        <w:rPr>
          <w:rFonts w:ascii="Times New Roman" w:hAnsi="Times New Roman"/>
          <w:b/>
          <w:i w:val="false"/>
          <w:color w:val="000000"/>
          <w:sz w:val="22"/>
        </w:rPr>
        <w:t>351—4.58</w:t>
      </w:r>
      <w:r>
        <w:rPr>
          <w:rFonts w:ascii="Times New Roman" w:hAnsi="Times New Roman"/>
          <w:b/>
          <w:i w:val="false"/>
          <w:color w:val="000000"/>
          <w:sz w:val="22"/>
        </w:rPr>
        <w:t xml:space="preserve">(68B) </w:t>
      </w:r>
      <w:r>
        <w:rPr>
          <w:rFonts w:ascii="Times New Roman" w:hAnsi="Times New Roman"/>
          <w:b/>
          <w:i w:val="false"/>
          <w:color w:val="000000"/>
          <w:sz w:val="22"/>
        </w:rPr>
        <w:t xml:space="preserve">Late-filed campaign disclosure reports. </w:t>
      </w:r>
      <w:r>
        <w:rPr>
          <w:rFonts w:ascii="Times New Roman" w:hAnsi="Times New Roman"/>
          <w:b w:val="false"/>
          <w:i w:val="false"/>
          <w:color w:val="000000"/>
          <w:sz w:val="22"/>
        </w:rPr>
        <w:t>A campaign disclosure report is deemed filed late if it is not received by the board on or before the date and time the report is mandated to be filed pursuant to statute or board rule.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0">
        <w:r>
          <w:rPr>
            <w:rStyle w:val="Hyperlink"/>
            <w:rFonts w:ascii="Times New Roman" w:hAnsi="Times New Roman"/>
            <w:b w:val="false"/>
            <w:i w:val="false"/>
            <w:color w:val="000000"/>
            <w:sz w:val="22"/>
          </w:rPr>
          <w:t>68B.32A(8)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8290B</w:t>
      </w:r>
      <w:r>
        <w:rPr>
          <w:rFonts w:ascii="Times New Roman" w:hAnsi="Times New Roman"/>
          <w:b w:val="false"/>
          <w:i w:val="false"/>
          <w:color w:val="000000"/>
          <w:sz w:val="16"/>
        </w:rPr>
        <w:t>, IAB 11/18/09, effective 12/23/09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351—4.59</w:t>
      </w:r>
      <w:r>
        <w:rPr>
          <w:rFonts w:ascii="Times New Roman" w:hAnsi="Times New Roman"/>
          <w:b/>
          <w:i w:val="false"/>
          <w:color w:val="000000"/>
          <w:sz w:val="22"/>
        </w:rPr>
        <w:t xml:space="preserve">(68B) </w:t>
      </w:r>
      <w:r>
        <w:rPr>
          <w:rFonts w:ascii="Times New Roman" w:hAnsi="Times New Roman"/>
          <w:b/>
          <w:i w:val="false"/>
          <w:color w:val="000000"/>
          <w:sz w:val="22"/>
        </w:rPr>
        <w:t xml:space="preserve">Routine civil penalty assessment for late-filed disclosure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4.59(1)</w:t>
      </w:r>
      <w:r>
        <w:rPr>
          <w:rFonts w:ascii="Times New Roman" w:hAnsi="Times New Roman"/>
          <w:b w:val="false"/>
          <w:i w:val="false"/>
          <w:color w:val="000000"/>
          <w:sz w:val="22"/>
        </w:rPr>
        <w:t> </w:t>
      </w:r>
      <w:r>
        <w:rPr>
          <w:rFonts w:ascii="Times New Roman" w:hAnsi="Times New Roman"/>
          <w:b w:val="false"/>
          <w:i/>
          <w:color w:val="000000"/>
          <w:sz w:val="22"/>
        </w:rPr>
        <w:t xml:space="preserve">Administrative resolution. </w:t>
      </w:r>
      <w:r>
        <w:rPr>
          <w:rFonts w:ascii="Times New Roman" w:hAnsi="Times New Roman"/>
          <w:b w:val="false"/>
          <w:i w:val="false"/>
          <w:color w:val="000000"/>
          <w:sz w:val="22"/>
        </w:rPr>
        <w:t xml:space="preserve">In administrative resolution of violations for late-filed disclosure reports, the board shall assess and collect monetary penalties for all late-filed disclosure reports. The board shall notify any person assessed a penalty of the amount of the assessment and the person’s ability to request a waiver under rule </w:t>
      </w:r>
      <w:hyperlink r:id="rId211">
        <w:r>
          <w:rPr>
            <w:rStyle w:val="Hyperlink"/>
            <w:rFonts w:ascii="Times New Roman" w:hAnsi="Times New Roman"/>
            <w:b w:val="false"/>
            <w:i w:val="false"/>
            <w:color w:val="000000"/>
            <w:sz w:val="22"/>
          </w:rPr>
          <w:t>351—4.60</w:t>
        </w:r>
      </w:hyperlink>
      <w:r>
        <w:rPr>
          <w:rFonts w:ascii="Times New Roman" w:hAnsi="Times New Roman"/>
          <w:b w:val="false"/>
          <w:i w:val="false"/>
          <w:color w:val="000000"/>
          <w:sz w:val="22"/>
        </w:rPr>
        <w:t>(68B). A person using the board’s electronic filing system shall not be assessed a civil penalty if the board’s electronic filing system is not properly functioning and causes the person to be unable to timely file the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4.59(2)</w:t>
      </w:r>
      <w:r>
        <w:rPr>
          <w:rFonts w:ascii="Times New Roman" w:hAnsi="Times New Roman"/>
          <w:b w:val="false"/>
          <w:i w:val="false"/>
          <w:color w:val="000000"/>
          <w:sz w:val="22"/>
        </w:rPr>
        <w:t> </w:t>
      </w:r>
      <w:r>
        <w:rPr>
          <w:rFonts w:ascii="Times New Roman" w:hAnsi="Times New Roman"/>
          <w:b w:val="false"/>
          <w:i/>
          <w:color w:val="000000"/>
          <w:sz w:val="22"/>
        </w:rPr>
        <w:t xml:space="preserve">County and local committee assessments. </w:t>
      </w:r>
      <w:r>
        <w:rPr>
          <w:rFonts w:ascii="Times New Roman" w:hAnsi="Times New Roman"/>
          <w:b w:val="false"/>
          <w:i w:val="false"/>
          <w:color w:val="000000"/>
          <w:sz w:val="22"/>
        </w:rPr>
        <w:t>County, county statutory, city, school, other political subdivision, and local ballot issue committees shall be assessed civil penalties for late-filed reports in accordance with the following schedule:</w:t>
      </w:r>
    </w:p>
    <w:tbl>
      <w:tblPr>
        <w:tblW w:w="5000" w:type="pct"/>
        <w:tblCellSpacing w:w="0" w:type="auto"/>
        <w:tblBorders>
          <w:top w:val="none"/>
          <w:left w:val="none"/>
          <w:bottom w:val="none"/>
          <w:right w:val="none"/>
          <w:insideH w:val="none"/>
          <w:insideV w:val="none"/>
        </w:tblBorders>
        <w:tblLayout w:type="fixed"/>
      </w:tblPr>
      <w:tblGrid>
        <w:gridCol w:w="4370"/>
        <w:gridCol w:w="2450"/>
        <w:gridCol w:w="4370"/>
      </w:tblGrid>
      <w:tr>
        <w:trPr>
          <w:trHeight w:val="390" w:hRule="atLeast"/>
        </w:trPr>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Date report received</w:t>
            </w:r>
          </w:p>
        </w:tc>
        <w:tc>
          <w:tcPr>
            <w:tcW w:w="245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First-time delinquency</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Repeat delinquency by same committee in 12-month period</w:t>
            </w:r>
          </w:p>
        </w:tc>
      </w:tr>
      <w:tr>
        <w:trPr>
          <w:trHeight w:val="210" w:hRule="atLeast"/>
        </w:trPr>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 to 14 consecutive days delinquent</w:t>
            </w:r>
          </w:p>
        </w:tc>
        <w:tc>
          <w:tcPr>
            <w:tcW w:w="245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w:t>
            </w:r>
          </w:p>
        </w:tc>
      </w:tr>
      <w:tr>
        <w:trPr>
          <w:trHeight w:val="210" w:hRule="atLeast"/>
        </w:trPr>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15 to 30 consecutive days delinquent</w:t>
            </w:r>
          </w:p>
        </w:tc>
        <w:tc>
          <w:tcPr>
            <w:tcW w:w="245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$100</w:t>
            </w:r>
          </w:p>
        </w:tc>
      </w:tr>
      <w:tr>
        <w:trPr>
          <w:trHeight w:val="210" w:hRule="atLeast"/>
        </w:trPr>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31 to 45 consecutive days delinquent</w:t>
            </w:r>
          </w:p>
        </w:tc>
        <w:tc>
          <w:tcPr>
            <w:tcW w:w="245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4.59(3)</w:t>
      </w:r>
      <w:r>
        <w:rPr>
          <w:rFonts w:ascii="Times New Roman" w:hAnsi="Times New Roman"/>
          <w:b w:val="false"/>
          <w:i w:val="false"/>
          <w:color w:val="000000"/>
          <w:sz w:val="22"/>
        </w:rPr>
        <w:t> </w:t>
      </w:r>
      <w:r>
        <w:rPr>
          <w:rFonts w:ascii="Times New Roman" w:hAnsi="Times New Roman"/>
          <w:b w:val="false"/>
          <w:i/>
          <w:color w:val="000000"/>
          <w:sz w:val="22"/>
        </w:rPr>
        <w:t xml:space="preserve">State committee assessments. </w:t>
      </w:r>
      <w:r>
        <w:rPr>
          <w:rFonts w:ascii="Times New Roman" w:hAnsi="Times New Roman"/>
          <w:b w:val="false"/>
          <w:i w:val="false"/>
          <w:color w:val="000000"/>
          <w:sz w:val="22"/>
        </w:rPr>
        <w:t>Statewide, general assembly, state statutory, and state political committees, and a judge standing for retention shall be assessed civil penalties for late-filed reports, except for supplementary and special election reports, in accordance with the following schedule:</w:t>
      </w:r>
    </w:p>
    <w:tbl>
      <w:tblPr>
        <w:tblW w:w="5000" w:type="pct"/>
        <w:tblCellSpacing w:w="0" w:type="auto"/>
        <w:tblBorders>
          <w:top w:val="none"/>
          <w:left w:val="none"/>
          <w:bottom w:val="none"/>
          <w:right w:val="none"/>
          <w:insideH w:val="none"/>
          <w:insideV w:val="none"/>
        </w:tblBorders>
        <w:tblLayout w:type="fixed"/>
      </w:tblPr>
      <w:tblGrid>
        <w:gridCol w:w="4370"/>
        <w:gridCol w:w="2450"/>
        <w:gridCol w:w="4370"/>
      </w:tblGrid>
      <w:tr>
        <w:trPr>
          <w:trHeight w:val="495" w:hRule="atLeast"/>
        </w:trPr>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Date report received</w:t>
            </w:r>
          </w:p>
        </w:tc>
        <w:tc>
          <w:tcPr>
            <w:tcW w:w="245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 xml:space="preserve">First-time delinquency </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Repeat delinquency by same committee in 12-month period</w:t>
            </w:r>
          </w:p>
        </w:tc>
      </w:tr>
      <w:tr>
        <w:trPr>
          <w:trHeight w:val="210" w:hRule="atLeast"/>
        </w:trPr>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 to 14 consecutive days delinquent</w:t>
            </w:r>
          </w:p>
        </w:tc>
        <w:tc>
          <w:tcPr>
            <w:tcW w:w="245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$100</w:t>
            </w:r>
          </w:p>
        </w:tc>
      </w:tr>
      <w:tr>
        <w:trPr>
          <w:trHeight w:val="210" w:hRule="atLeast"/>
        </w:trPr>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15 to 30 consecutive days delinquent</w:t>
            </w:r>
          </w:p>
        </w:tc>
        <w:tc>
          <w:tcPr>
            <w:tcW w:w="245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$100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$200</w:t>
            </w:r>
          </w:p>
        </w:tc>
      </w:tr>
      <w:tr>
        <w:trPr>
          <w:trHeight w:val="210" w:hRule="atLeast"/>
        </w:trPr>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31 to 45 consecutive days delinquent</w:t>
            </w:r>
          </w:p>
        </w:tc>
        <w:tc>
          <w:tcPr>
            <w:tcW w:w="245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$200</w:t>
            </w:r>
          </w:p>
        </w:tc>
        <w:tc>
          <w:tcPr>
            <w:tcW w:w="4370"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$300</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4.59(4)</w:t>
      </w:r>
      <w:r>
        <w:rPr>
          <w:rFonts w:ascii="Times New Roman" w:hAnsi="Times New Roman"/>
          <w:b w:val="false"/>
          <w:i w:val="false"/>
          <w:color w:val="000000"/>
          <w:sz w:val="22"/>
        </w:rPr>
        <w:t> </w:t>
      </w:r>
      <w:r>
        <w:rPr>
          <w:rFonts w:ascii="Times New Roman" w:hAnsi="Times New Roman"/>
          <w:b w:val="false"/>
          <w:i/>
          <w:color w:val="000000"/>
          <w:sz w:val="22"/>
        </w:rPr>
        <w:t xml:space="preserve">Supplementary report assessments. </w:t>
      </w:r>
      <w:r>
        <w:rPr>
          <w:rFonts w:ascii="Times New Roman" w:hAnsi="Times New Roman"/>
          <w:b w:val="false"/>
          <w:i w:val="false"/>
          <w:color w:val="000000"/>
          <w:sz w:val="22"/>
        </w:rPr>
        <w:t>General assembly candidates’ committees required to file supplementary disclosure reports shall be assessed a $200 civil penalty for filing a supplementary report one or more days late. Statewide committees required to file supplementary disclosure reports shall be assessed a $400 civil penalty for filing a supplementary report one or more days late.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4.59(5)</w:t>
      </w:r>
      <w:r>
        <w:rPr>
          <w:rFonts w:ascii="Times New Roman" w:hAnsi="Times New Roman"/>
          <w:b w:val="false"/>
          <w:i w:val="false"/>
          <w:color w:val="000000"/>
          <w:sz w:val="22"/>
        </w:rPr>
        <w:t> </w:t>
      </w:r>
      <w:r>
        <w:rPr>
          <w:rFonts w:ascii="Times New Roman" w:hAnsi="Times New Roman"/>
          <w:b w:val="false"/>
          <w:i/>
          <w:color w:val="000000"/>
          <w:sz w:val="22"/>
        </w:rPr>
        <w:t xml:space="preserve">Special election assessments. </w:t>
      </w:r>
      <w:r>
        <w:rPr>
          <w:rFonts w:ascii="Times New Roman" w:hAnsi="Times New Roman"/>
          <w:b w:val="false"/>
          <w:i w:val="false"/>
          <w:color w:val="000000"/>
          <w:sz w:val="22"/>
        </w:rPr>
        <w:t>The committees of general assembly candidates to fill vacancies in special elections shall be assessed a $100 civil penalty for filing a special election report one or more days late. The committees of statewide candidates to fill vacancies in special elections shall be assessed a $200 civil penalty for filing a special election report one or more days late.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4.59(6)</w:t>
      </w:r>
      <w:r>
        <w:rPr>
          <w:rFonts w:ascii="Times New Roman" w:hAnsi="Times New Roman"/>
          <w:b w:val="false"/>
          <w:i w:val="false"/>
          <w:color w:val="000000"/>
          <w:sz w:val="22"/>
        </w:rPr>
        <w:t> </w:t>
      </w:r>
      <w:r>
        <w:rPr>
          <w:rFonts w:ascii="Times New Roman" w:hAnsi="Times New Roman"/>
          <w:b w:val="false"/>
          <w:i/>
          <w:color w:val="000000"/>
          <w:sz w:val="22"/>
        </w:rPr>
        <w:t xml:space="preserve">Verified statement of registration assessments. </w:t>
      </w:r>
      <w:r>
        <w:rPr>
          <w:rFonts w:ascii="Times New Roman" w:hAnsi="Times New Roman"/>
          <w:b w:val="false"/>
          <w:i w:val="false"/>
          <w:color w:val="000000"/>
          <w:sz w:val="22"/>
        </w:rPr>
        <w:t xml:space="preserve">An out-of-state committee that chooses to file a verified statement of registration (VSR) as provided in Iowa Code Supplement section </w:t>
      </w:r>
      <w:hyperlink r:id="rId212">
        <w:r>
          <w:rPr>
            <w:rStyle w:val="Hyperlink"/>
            <w:rFonts w:ascii="Times New Roman" w:hAnsi="Times New Roman"/>
            <w:b w:val="false"/>
            <w:i w:val="false"/>
            <w:color w:val="000000"/>
            <w:sz w:val="22"/>
          </w:rPr>
          <w:t>68A.201</w:t>
        </w:r>
      </w:hyperlink>
      <w:r>
        <w:rPr>
          <w:rFonts w:ascii="Times New Roman" w:hAnsi="Times New Roman"/>
          <w:b w:val="false"/>
          <w:i w:val="false"/>
          <w:color w:val="000000"/>
          <w:sz w:val="22"/>
        </w:rPr>
        <w:t xml:space="preserve"> and rule </w:t>
      </w:r>
      <w:hyperlink r:id="rId213">
        <w:r>
          <w:rPr>
            <w:rStyle w:val="Hyperlink"/>
            <w:rFonts w:ascii="Times New Roman" w:hAnsi="Times New Roman"/>
            <w:b w:val="false"/>
            <w:i w:val="false"/>
            <w:color w:val="000000"/>
            <w:sz w:val="22"/>
          </w:rPr>
          <w:t>351—4.32</w:t>
        </w:r>
      </w:hyperlink>
      <w:r>
        <w:rPr>
          <w:rFonts w:ascii="Times New Roman" w:hAnsi="Times New Roman"/>
          <w:b w:val="false"/>
          <w:i w:val="false"/>
          <w:color w:val="000000"/>
          <w:sz w:val="22"/>
        </w:rPr>
        <w:t>(68A), but fails to file the VSR on or before the fifteenth day after the date of the contribution, shall be assessed a $25 civil penalty per late-filed VSR. However, if there is a repeat delinquency by the committee in a 12-month period, the penalty shall be $50.</w:t>
      </w:r>
    </w:p>
    <w:p>
      <w:pPr>
        <w:spacing w:before="0" w:after="0"/>
        <w:ind w:left="120"/>
        <w:jc w:val="both"/>
      </w:pPr>
      <w:r>
        <w:rPr>
          <w:rFonts w:ascii="Times New Roman" w:hAnsi="Times New Roman"/>
          <w:b w:val="false"/>
          <w:i w:val="false"/>
          <w:color w:val="000000"/>
          <w:sz w:val="22"/>
        </w:rPr>
        <w:t>For purposes of this subrule, “date of the contribution” means the day, month and year the contribution check is dated.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4.59(7)</w:t>
      </w:r>
      <w:r>
        <w:rPr>
          <w:rFonts w:ascii="Times New Roman" w:hAnsi="Times New Roman"/>
          <w:b w:val="false"/>
          <w:i w:val="false"/>
          <w:color w:val="000000"/>
          <w:sz w:val="22"/>
        </w:rPr>
        <w:t> </w:t>
      </w:r>
      <w:r>
        <w:rPr>
          <w:rFonts w:ascii="Times New Roman" w:hAnsi="Times New Roman"/>
          <w:b w:val="false"/>
          <w:i/>
          <w:color w:val="000000"/>
          <w:sz w:val="22"/>
        </w:rPr>
        <w:t xml:space="preserve">Independent expenditure assessment. </w:t>
      </w:r>
      <w:r>
        <w:rPr>
          <w:rFonts w:ascii="Times New Roman" w:hAnsi="Times New Roman"/>
          <w:b w:val="false"/>
          <w:i w:val="false"/>
          <w:color w:val="000000"/>
          <w:sz w:val="22"/>
        </w:rPr>
        <w:t>An individual who is delinquent in timely filing Form Ind-Exp-I shall be assessed a $25 civil penalty. If there is a repeat delinquency by the individual in timely filing Form Ind-Exp-I within a 12-month period, the penalty shall be $50. A person that is designated by the board as an independent expenditure committee that fails to timely file Form Ind-Exp-O shall be assessed a $50 civil penalty. If there is a repeat delinquency by the person in timely filing Form Ind-Exp-O within a 12-month period, the penalty shall be $100.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4.59(8)</w:t>
      </w:r>
      <w:r>
        <w:rPr>
          <w:rFonts w:ascii="Times New Roman" w:hAnsi="Times New Roman"/>
          <w:b w:val="false"/>
          <w:i w:val="false"/>
          <w:color w:val="000000"/>
          <w:sz w:val="22"/>
        </w:rPr>
        <w:t> </w:t>
      </w:r>
      <w:r>
        <w:rPr>
          <w:rFonts w:ascii="Times New Roman" w:hAnsi="Times New Roman"/>
          <w:b w:val="false"/>
          <w:i/>
          <w:color w:val="000000"/>
          <w:sz w:val="22"/>
        </w:rPr>
        <w:t xml:space="preserve">Form DR-OTC assessment. </w:t>
      </w:r>
      <w:r>
        <w:rPr>
          <w:rFonts w:ascii="Times New Roman" w:hAnsi="Times New Roman"/>
          <w:b w:val="false"/>
          <w:i w:val="false"/>
          <w:color w:val="000000"/>
          <w:sz w:val="22"/>
        </w:rPr>
        <w:t>A permanent organization that has not previously made a contribution in excess of $750 and that fails to file Form DR-OTC within ten days of notice to do so by the board shall be assessed a $20 civil penalty. A permanent organization that has previously made a contribution in excess of $750 and that fails to file Form DR-OTC within ten days of the date on which the contribution check is issued shall be assessed a $20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4.59(9)</w:t>
      </w:r>
      <w:r>
        <w:rPr>
          <w:rFonts w:ascii="Times New Roman" w:hAnsi="Times New Roman"/>
          <w:b w:val="false"/>
          <w:i w:val="false"/>
          <w:color w:val="000000"/>
          <w:sz w:val="22"/>
        </w:rPr>
        <w:t> </w:t>
      </w:r>
      <w:r>
        <w:rPr>
          <w:rFonts w:ascii="Times New Roman" w:hAnsi="Times New Roman"/>
          <w:b w:val="false"/>
          <w:i/>
          <w:color w:val="000000"/>
          <w:sz w:val="22"/>
        </w:rPr>
        <w:t xml:space="preserve">Additional sanctions. </w:t>
      </w:r>
      <w:r>
        <w:rPr>
          <w:rFonts w:ascii="Times New Roman" w:hAnsi="Times New Roman"/>
          <w:b w:val="false"/>
          <w:i w:val="false"/>
          <w:color w:val="000000"/>
          <w:sz w:val="22"/>
        </w:rPr>
        <w:t xml:space="preserve">The issuance of a civil penalty under this rule does not prohibit the board from imposing sanctions pursuant to the process set out in Iowa Code chapter </w:t>
      </w:r>
      <w:hyperlink r:id="rId214">
        <w:r>
          <w:rPr>
            <w:rStyle w:val="Hyperlink"/>
            <w:rFonts w:ascii="Times New Roman" w:hAnsi="Times New Roman"/>
            <w:b w:val="false"/>
            <w:i w:val="false"/>
            <w:color w:val="000000"/>
            <w:sz w:val="22"/>
          </w:rPr>
          <w:t>68B</w:t>
        </w:r>
      </w:hyperlink>
      <w:r>
        <w:rPr>
          <w:rFonts w:ascii="Times New Roman" w:hAnsi="Times New Roman"/>
          <w:b w:val="false"/>
          <w:i w:val="false"/>
          <w:color w:val="000000"/>
          <w:sz w:val="22"/>
        </w:rPr>
        <w:t xml:space="preserve"> and rule </w:t>
      </w:r>
      <w:hyperlink r:id="rId215">
        <w:r>
          <w:rPr>
            <w:rStyle w:val="Hyperlink"/>
            <w:rFonts w:ascii="Times New Roman" w:hAnsi="Times New Roman"/>
            <w:b w:val="false"/>
            <w:i w:val="false"/>
            <w:color w:val="000000"/>
            <w:sz w:val="22"/>
          </w:rPr>
          <w:t>351—9.4</w:t>
        </w:r>
      </w:hyperlink>
      <w:r>
        <w:rPr>
          <w:rFonts w:ascii="Times New Roman" w:hAnsi="Times New Roman"/>
          <w:b w:val="false"/>
          <w:i w:val="false"/>
          <w:color w:val="000000"/>
          <w:sz w:val="22"/>
        </w:rPr>
        <w:t>(68B) if the board determines that there was evidence of an intentional failure to timely file the report.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6">
        <w:r>
          <w:rPr>
            <w:rStyle w:val="Hyperlink"/>
            <w:rFonts w:ascii="Times New Roman" w:hAnsi="Times New Roman"/>
            <w:b w:val="false"/>
            <w:i w:val="false"/>
            <w:color w:val="000000"/>
            <w:sz w:val="22"/>
          </w:rPr>
          <w:t>68B.32A(8)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7645B</w:t>
      </w:r>
      <w:r>
        <w:rPr>
          <w:rFonts w:ascii="Times New Roman" w:hAnsi="Times New Roman"/>
          <w:b w:val="false"/>
          <w:i w:val="false"/>
          <w:color w:val="000000"/>
          <w:sz w:val="16"/>
        </w:rPr>
        <w:t>, IAB 3/25/09, effective 4/29/09</w:t>
      </w:r>
      <w:r>
        <w:rPr>
          <w:rFonts w:ascii="Times New Roman" w:hAnsi="Times New Roman"/>
          <w:b w:val="false"/>
          <w:i w:val="false"/>
          <w:color w:val="000000"/>
          <w:sz w:val="16"/>
        </w:rPr>
        <w:t xml:space="preserve">; </w:t>
      </w:r>
      <w:r>
        <w:rPr>
          <w:rFonts w:ascii="Times New Roman" w:hAnsi="Times New Roman"/>
          <w:b/>
          <w:i w:val="false"/>
          <w:color w:val="000000"/>
          <w:sz w:val="16"/>
        </w:rPr>
        <w:t>ARC 8826B</w:t>
      </w:r>
      <w:r>
        <w:rPr>
          <w:rFonts w:ascii="Times New Roman" w:hAnsi="Times New Roman"/>
          <w:b w:val="false"/>
          <w:i w:val="false"/>
          <w:color w:val="000000"/>
          <w:sz w:val="16"/>
        </w:rPr>
        <w:t>, IAB 6/2/10, effective 5/17/10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351—4.60</w:t>
      </w:r>
      <w:r>
        <w:rPr>
          <w:rFonts w:ascii="Times New Roman" w:hAnsi="Times New Roman"/>
          <w:b/>
          <w:i w:val="false"/>
          <w:color w:val="000000"/>
          <w:sz w:val="22"/>
        </w:rPr>
        <w:t xml:space="preserve">(68B) </w:t>
      </w:r>
      <w:r>
        <w:rPr>
          <w:rFonts w:ascii="Times New Roman" w:hAnsi="Times New Roman"/>
          <w:b/>
          <w:i w:val="false"/>
          <w:color w:val="000000"/>
          <w:sz w:val="22"/>
        </w:rPr>
        <w:t xml:space="preserve">Requests for waiver of penalties. </w:t>
      </w:r>
      <w:r>
        <w:rPr>
          <w:rFonts w:ascii="Times New Roman" w:hAnsi="Times New Roman"/>
          <w:b w:val="false"/>
          <w:i w:val="false"/>
          <w:color w:val="000000"/>
          <w:sz w:val="22"/>
        </w:rPr>
        <w:t xml:space="preserve">If a person believes that there are mitigating circumstances that prevented the timely filing of a report, the person may make a written request to the board for waiver of the penalty by filing a Petition for Waiver of Civil Penalty form. A person seeking a waiver must submit the request to the board within 30 days of receiving a civil penalty assessment order. Waivers may be granted only under exceptional or very unusual circumstances. The board will review the request and issue a waiver or denial of the request. If a waiver is granted, the board will determine how much of the penalty is waived based on the circumstances. If a denial or partial waiver is issued, the person shall promptly pay the assessed penalty or seek a contested case proceeding pursuant to rule </w:t>
      </w:r>
      <w:hyperlink r:id="rId217">
        <w:r>
          <w:rPr>
            <w:rStyle w:val="Hyperlink"/>
            <w:rFonts w:ascii="Times New Roman" w:hAnsi="Times New Roman"/>
            <w:b w:val="false"/>
            <w:i w:val="false"/>
            <w:color w:val="000000"/>
            <w:sz w:val="22"/>
          </w:rPr>
          <w:t>351—4.61(68B)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8">
        <w:r>
          <w:rPr>
            <w:rStyle w:val="Hyperlink"/>
            <w:rFonts w:ascii="Times New Roman" w:hAnsi="Times New Roman"/>
            <w:b w:val="false"/>
            <w:i w:val="false"/>
            <w:color w:val="000000"/>
            <w:sz w:val="22"/>
          </w:rPr>
          <w:t>68B.32A(8)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7996B</w:t>
      </w:r>
      <w:r>
        <w:rPr>
          <w:rFonts w:ascii="Times New Roman" w:hAnsi="Times New Roman"/>
          <w:b w:val="false"/>
          <w:i w:val="false"/>
          <w:color w:val="000000"/>
          <w:sz w:val="16"/>
        </w:rPr>
        <w:t>, IAB 7/29/09, effective 9/2/09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351—4.61</w:t>
      </w:r>
      <w:r>
        <w:rPr>
          <w:rFonts w:ascii="Times New Roman" w:hAnsi="Times New Roman"/>
          <w:b/>
          <w:i w:val="false"/>
          <w:color w:val="000000"/>
          <w:sz w:val="22"/>
        </w:rPr>
        <w:t xml:space="preserve">(68B) </w:t>
      </w:r>
      <w:r>
        <w:rPr>
          <w:rFonts w:ascii="Times New Roman" w:hAnsi="Times New Roman"/>
          <w:b/>
          <w:i w:val="false"/>
          <w:color w:val="000000"/>
          <w:sz w:val="22"/>
        </w:rPr>
        <w:t xml:space="preserve">Contested case challenge.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4.61(1)</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If the person accepts administrative resolution of a matter through the payment of the assessed penalty, the matter shall be closed. If the person chooses to contest the board’s decision to deny the request or grant a partial waiver of an assessed penalty, the person shall make a written request for a contested case proceeding within 30 days of being notified of the board’s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4.61(2)</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Upon timely receipt of a request for a contested case proceeding, the board shall provide for the issuance of a statement of charges and notice of hearing. The hearing shall be conducted in accordance with the provisions of Iowa Code section </w:t>
      </w:r>
      <w:hyperlink r:id="rId219">
        <w:r>
          <w:rPr>
            <w:rStyle w:val="Hyperlink"/>
            <w:rFonts w:ascii="Times New Roman" w:hAnsi="Times New Roman"/>
            <w:b w:val="false"/>
            <w:i w:val="false"/>
            <w:color w:val="000000"/>
            <w:sz w:val="22"/>
          </w:rPr>
          <w:t>68B.32C</w:t>
        </w:r>
      </w:hyperlink>
      <w:r>
        <w:rPr>
          <w:rFonts w:ascii="Times New Roman" w:hAnsi="Times New Roman"/>
          <w:b w:val="false"/>
          <w:i w:val="false"/>
          <w:color w:val="000000"/>
          <w:sz w:val="22"/>
        </w:rPr>
        <w:t xml:space="preserve"> and the board’s rules. The burden shall be on the board’s legal counsel to prove that a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4.61(3)</w:t>
      </w:r>
      <w:r>
        <w:rPr>
          <w:rFonts w:ascii="Times New Roman" w:hAnsi="Times New Roman"/>
          <w:b w:val="false"/>
          <w:i w:val="false"/>
          <w:color w:val="000000"/>
          <w:sz w:val="22"/>
        </w:rPr>
        <w:t> </w:t>
      </w:r>
      <w:r>
        <w:rPr>
          <w:rFonts w:ascii="Times New Roman" w:hAnsi="Times New Roman"/>
          <w:b w:val="false"/>
          <w:i/>
          <w:color w:val="000000"/>
          <w:sz w:val="22"/>
        </w:rPr>
        <w:t xml:space="preserve">Failure to request hearing. </w:t>
      </w:r>
      <w:r>
        <w:rPr>
          <w:rFonts w:ascii="Times New Roman" w:hAnsi="Times New Roman"/>
          <w:b w:val="false"/>
          <w:i w:val="false"/>
          <w:color w:val="000000"/>
          <w:sz w:val="22"/>
        </w:rPr>
        <w:t xml:space="preserve">Failure to request a contested case proceeding to appeal the board’s decision on a waiver request is failure to exhaust administrative remedies for purposes of seeking judicial review in accordance with Iowa Code chapter </w:t>
      </w:r>
      <w:hyperlink r:id="rId22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Iowa Code section </w:t>
      </w:r>
      <w:hyperlink r:id="rId221">
        <w:r>
          <w:rPr>
            <w:rStyle w:val="Hyperlink"/>
            <w:rFonts w:ascii="Times New Roman" w:hAnsi="Times New Roman"/>
            <w:b w:val="false"/>
            <w:i w:val="false"/>
            <w:color w:val="000000"/>
            <w:sz w:val="22"/>
          </w:rPr>
          <w:t>68B.33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2">
        <w:r>
          <w:rPr>
            <w:rStyle w:val="Hyperlink"/>
            <w:rFonts w:ascii="Times New Roman" w:hAnsi="Times New Roman"/>
            <w:b w:val="false"/>
            <w:i w:val="false"/>
            <w:color w:val="000000"/>
            <w:sz w:val="22"/>
          </w:rPr>
          <w:t>68B.32A(8)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351—4.62</w:t>
      </w:r>
      <w:r>
        <w:rPr>
          <w:rFonts w:ascii="Times New Roman" w:hAnsi="Times New Roman"/>
          <w:b/>
          <w:i w:val="false"/>
          <w:color w:val="000000"/>
          <w:sz w:val="22"/>
        </w:rPr>
        <w:t xml:space="preserve">(68B) </w:t>
      </w:r>
      <w:r>
        <w:rPr>
          <w:rFonts w:ascii="Times New Roman" w:hAnsi="Times New Roman"/>
          <w:b/>
          <w:i w:val="false"/>
          <w:color w:val="000000"/>
          <w:sz w:val="22"/>
        </w:rPr>
        <w:t xml:space="preserve">Payment of penalty.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4.62(1)</w:t>
      </w:r>
      <w:r>
        <w:rPr>
          <w:rFonts w:ascii="Times New Roman" w:hAnsi="Times New Roman"/>
          <w:b w:val="false"/>
          <w:i w:val="false"/>
          <w:color w:val="000000"/>
          <w:sz w:val="22"/>
        </w:rPr>
        <w:t> </w:t>
      </w:r>
      <w:r>
        <w:rPr>
          <w:rFonts w:ascii="Times New Roman" w:hAnsi="Times New Roman"/>
          <w:b w:val="false"/>
          <w:i/>
          <w:color w:val="000000"/>
          <w:sz w:val="22"/>
        </w:rPr>
        <w:t xml:space="preserve">Where payment made. </w:t>
      </w:r>
      <w:r>
        <w:rPr>
          <w:rFonts w:ascii="Times New Roman" w:hAnsi="Times New Roman"/>
          <w:b w:val="false"/>
          <w:i w:val="false"/>
          <w:color w:val="000000"/>
          <w:sz w:val="22"/>
        </w:rPr>
        <w:t>Checks or money orders shall be made payable and forwarded to: Iowa Ethics and Campaign Disclosure Board, 510 East 12th Street, Suite 1A, Des Moines, Iowa 50319. Such funds shall be deposited in the general fund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4.62(2)</w:t>
      </w:r>
      <w:r>
        <w:rPr>
          <w:rFonts w:ascii="Times New Roman" w:hAnsi="Times New Roman"/>
          <w:b w:val="false"/>
          <w:i w:val="false"/>
          <w:color w:val="000000"/>
          <w:sz w:val="22"/>
        </w:rPr>
        <w:t> </w:t>
      </w:r>
      <w:r>
        <w:rPr>
          <w:rFonts w:ascii="Times New Roman" w:hAnsi="Times New Roman"/>
          <w:b w:val="false"/>
          <w:i/>
          <w:color w:val="000000"/>
          <w:sz w:val="22"/>
        </w:rPr>
        <w:t xml:space="preserve">Who may make payment. </w:t>
      </w:r>
      <w:r>
        <w:rPr>
          <w:rFonts w:ascii="Times New Roman" w:hAnsi="Times New Roman"/>
          <w:b w:val="false"/>
          <w:i w:val="false"/>
          <w:color w:val="000000"/>
          <w:sz w:val="22"/>
        </w:rPr>
        <w:t>Payment may be made at the person’s discretion, including from funds of a committee or from personal funds of an officer of a committee.</w:t>
      </w:r>
    </w:p>
    <w:p>
      <w:pPr>
        <w:spacing w:before="0" w:after="0"/>
        <w:ind w:left="120"/>
        <w:jc w:val="both"/>
      </w:pPr>
      <w:r>
        <w:rPr>
          <w:rFonts w:ascii="Times New Roman" w:hAnsi="Times New Roman"/>
          <w:b w:val="false"/>
          <w:i w:val="false"/>
          <w:color w:val="000000"/>
          <w:sz w:val="22"/>
        </w:rPr>
        <w:t>This rule is intended to implement Iowa Code section </w:t>
      </w:r>
      <w:hyperlink r:id="rId223">
        <w:r>
          <w:rPr>
            <w:rStyle w:val="Hyperlink"/>
            <w:rFonts w:ascii="Times New Roman" w:hAnsi="Times New Roman"/>
            <w:b w:val="false"/>
            <w:i w:val="false"/>
            <w:color w:val="000000"/>
            <w:sz w:val="22"/>
          </w:rPr>
          <w:t>68B.32A(8)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7648B</w:t>
      </w:r>
      <w:r>
        <w:rPr>
          <w:rFonts w:ascii="Times New Roman" w:hAnsi="Times New Roman"/>
          <w:b w:val="false"/>
          <w:i w:val="false"/>
          <w:color w:val="000000"/>
          <w:sz w:val="16"/>
        </w:rPr>
        <w:t>, IAB 3/25/09, effective 4/29/09</w:t>
      </w:r>
      <w:r>
        <w:rPr>
          <w:rFonts w:ascii="Times New Roman" w:hAnsi="Times New Roman"/>
          <w:b w:val="false"/>
          <w:i w:val="false"/>
          <w:color w:val="000000"/>
          <w:sz w:val="16"/>
        </w:rPr>
        <w:t xml:space="preserve">; </w:t>
      </w:r>
      <w:r>
        <w:rPr>
          <w:rFonts w:ascii="Times New Roman" w:hAnsi="Times New Roman"/>
          <w:b/>
          <w:i w:val="false"/>
          <w:color w:val="000000"/>
          <w:sz w:val="16"/>
        </w:rPr>
        <w:t>ARC 5525C</w:t>
      </w:r>
      <w:r>
        <w:rPr>
          <w:rFonts w:ascii="Times New Roman" w:hAnsi="Times New Roman"/>
          <w:b w:val="false"/>
          <w:i w:val="false"/>
          <w:color w:val="000000"/>
          <w:sz w:val="16"/>
        </w:rPr>
        <w:t>, IAB 3/24/21, effective 4/28/21</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10/17/95, Notice 8/25/75—published 11/3/75, effective under</w:t>
      </w:r>
    </w:p>
    <w:p>
      <w:pPr>
        <w:spacing w:before="0" w:after="0"/>
        <w:ind w:left="120"/>
        <w:jc w:val="center"/>
      </w:pPr>
      <w:r>
        <w:rPr>
          <w:rFonts w:ascii="Times New Roman" w:hAnsi="Times New Roman"/>
          <w:b w:val="false"/>
          <w:i w:val="false"/>
          <w:color w:val="000000"/>
          <w:sz w:val="21"/>
        </w:rPr>
        <w:t>emergency provision 11/21/75]</w:t>
      </w:r>
    </w:p>
    <w:p>
      <w:pPr>
        <w:spacing w:before="0" w:after="0"/>
        <w:ind w:left="120"/>
        <w:jc w:val="center"/>
      </w:pPr>
      <w:r>
        <w:rPr>
          <w:rFonts w:ascii="Times New Roman" w:hAnsi="Times New Roman"/>
          <w:b w:val="false"/>
          <w:i w:val="false"/>
          <w:color w:val="000000"/>
          <w:sz w:val="21"/>
        </w:rPr>
        <w:t>[Filed 10/28/75, Notice 8/25/75—published 11/17/75, effective 12/22/75]</w:t>
      </w:r>
    </w:p>
    <w:p>
      <w:pPr>
        <w:spacing w:before="0" w:after="0"/>
        <w:ind w:left="120"/>
        <w:jc w:val="center"/>
      </w:pPr>
      <w:r>
        <w:rPr>
          <w:rFonts w:ascii="Times New Roman" w:hAnsi="Times New Roman"/>
          <w:b w:val="false"/>
          <w:i w:val="false"/>
          <w:color w:val="000000"/>
          <w:sz w:val="21"/>
        </w:rPr>
        <w:t>[Filed 11/26/75, Notice 8/25/75—published 12/15/75, effective 2/1/76]</w:t>
      </w:r>
    </w:p>
    <w:p>
      <w:pPr>
        <w:spacing w:before="0" w:after="0"/>
        <w:ind w:left="120"/>
        <w:jc w:val="center"/>
      </w:pPr>
      <w:r>
        <w:rPr>
          <w:rFonts w:ascii="Times New Roman" w:hAnsi="Times New Roman"/>
          <w:b w:val="false"/>
          <w:i w:val="false"/>
          <w:color w:val="000000"/>
          <w:sz w:val="21"/>
        </w:rPr>
        <w:t>[Amendment filed without notice 11/26/75—published 12/15/75]</w:t>
      </w:r>
    </w:p>
    <w:p>
      <w:pPr>
        <w:spacing w:before="0" w:after="0"/>
        <w:ind w:left="120"/>
        <w:jc w:val="center"/>
      </w:pPr>
      <w:r>
        <w:rPr>
          <w:rFonts w:ascii="Times New Roman" w:hAnsi="Times New Roman"/>
          <w:b w:val="false"/>
          <w:i w:val="false"/>
          <w:color w:val="000000"/>
          <w:sz w:val="21"/>
        </w:rPr>
        <w:t>[Filed emergency 2/11/76—published 3/8/76, effective 2/11/76]</w:t>
      </w:r>
    </w:p>
    <w:p>
      <w:pPr>
        <w:spacing w:before="0" w:after="0"/>
        <w:ind w:left="120"/>
        <w:jc w:val="center"/>
      </w:pPr>
      <w:r>
        <w:rPr>
          <w:rFonts w:ascii="Times New Roman" w:hAnsi="Times New Roman"/>
          <w:b w:val="false"/>
          <w:i w:val="false"/>
          <w:color w:val="000000"/>
          <w:sz w:val="21"/>
        </w:rPr>
        <w:t>[Filed 2/19/76, Notice 11/17/75—published 3/8/76, effective 4/12/76]</w:t>
      </w:r>
    </w:p>
    <w:p>
      <w:pPr>
        <w:spacing w:before="0" w:after="0"/>
        <w:ind w:left="120"/>
        <w:jc w:val="center"/>
      </w:pPr>
      <w:r>
        <w:rPr>
          <w:rFonts w:ascii="Times New Roman" w:hAnsi="Times New Roman"/>
          <w:b w:val="false"/>
          <w:i w:val="false"/>
          <w:color w:val="000000"/>
          <w:sz w:val="21"/>
        </w:rPr>
        <w:t>[Filed 4/1/76, Notice 11/17/75—published 4/19/76, effective 5/24/76]</w:t>
      </w:r>
    </w:p>
    <w:p>
      <w:pPr>
        <w:spacing w:before="0" w:after="0"/>
        <w:ind w:left="120"/>
        <w:jc w:val="center"/>
      </w:pPr>
      <w:r>
        <w:rPr>
          <w:rFonts w:ascii="Times New Roman" w:hAnsi="Times New Roman"/>
          <w:b w:val="false"/>
          <w:i w:val="false"/>
          <w:color w:val="000000"/>
          <w:sz w:val="21"/>
        </w:rPr>
        <w:t>[Filed 6/4/76—published 6/28/76, effective 8/2/76]</w:t>
      </w:r>
    </w:p>
    <w:p>
      <w:pPr>
        <w:spacing w:before="0" w:after="0"/>
        <w:ind w:left="120"/>
        <w:jc w:val="center"/>
      </w:pPr>
      <w:r>
        <w:rPr>
          <w:rFonts w:ascii="Times New Roman" w:hAnsi="Times New Roman"/>
          <w:b w:val="false"/>
          <w:i w:val="false"/>
          <w:color w:val="000000"/>
          <w:sz w:val="21"/>
        </w:rPr>
        <w:t>[Filed emergency 7/14/76—published 8/9/76, effective 7/14/76]</w:t>
      </w:r>
    </w:p>
    <w:p>
      <w:pPr>
        <w:spacing w:before="0" w:after="0"/>
        <w:ind w:left="120"/>
        <w:jc w:val="center"/>
      </w:pPr>
      <w:r>
        <w:rPr>
          <w:rFonts w:ascii="Times New Roman" w:hAnsi="Times New Roman"/>
          <w:b w:val="false"/>
          <w:i w:val="false"/>
          <w:color w:val="000000"/>
          <w:sz w:val="21"/>
        </w:rPr>
        <w:t>[Filed 1/7/77, Notice 12/1/76—published 1/26/77, effective 3/2/77]</w:t>
      </w:r>
    </w:p>
    <w:p>
      <w:pPr>
        <w:spacing w:before="0" w:after="0"/>
        <w:ind w:left="120"/>
        <w:jc w:val="center"/>
      </w:pPr>
      <w:r>
        <w:rPr>
          <w:rFonts w:ascii="Times New Roman" w:hAnsi="Times New Roman"/>
          <w:b w:val="false"/>
          <w:i w:val="false"/>
          <w:color w:val="000000"/>
          <w:sz w:val="21"/>
        </w:rPr>
        <w:t>[Filed 4/30/79, Notice 3/21/79—published 5/30/79, effective 7/4/79]</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8/29/80, Notice 5/28/80—published 9/17/80, effective 10/22/80]</w:t>
      </w:r>
    </w:p>
    <w:p>
      <w:pPr>
        <w:spacing w:before="0" w:after="0"/>
        <w:ind w:left="120"/>
        <w:jc w:val="center"/>
      </w:pPr>
      <w:r>
        <w:rPr>
          <w:rFonts w:ascii="Times New Roman" w:hAnsi="Times New Roman"/>
          <w:b w:val="false"/>
          <w:i w:val="false"/>
          <w:color w:val="000000"/>
          <w:sz w:val="21"/>
        </w:rPr>
        <w:t>[Filed 11/6/81, Notice 9/3/81—published 11/25/81, effective 1/1/82]</w:t>
      </w:r>
    </w:p>
    <w:p>
      <w:pPr>
        <w:spacing w:before="0" w:after="0"/>
        <w:ind w:left="120"/>
        <w:jc w:val="center"/>
      </w:pPr>
      <w:r>
        <w:rPr>
          <w:rFonts w:ascii="Times New Roman" w:hAnsi="Times New Roman"/>
          <w:b w:val="false"/>
          <w:i w:val="false"/>
          <w:color w:val="000000"/>
          <w:sz w:val="21"/>
        </w:rPr>
        <w:t>[Filed 11/4/83, Notice 8/3/83—published 11/23/83, effective 1/1/84]</w:t>
      </w:r>
    </w:p>
    <w:p>
      <w:pPr>
        <w:spacing w:before="0" w:after="0"/>
        <w:ind w:left="120"/>
        <w:jc w:val="center"/>
      </w:pPr>
      <w:r>
        <w:rPr>
          <w:rFonts w:ascii="Times New Roman" w:hAnsi="Times New Roman"/>
          <w:b w:val="false"/>
          <w:i w:val="false"/>
          <w:color w:val="000000"/>
          <w:sz w:val="21"/>
        </w:rPr>
        <w:t>[Filed 5/16/86, Notice 3/12/86—published 6/4/86, effective 9/3/86]</w:t>
      </w:r>
    </w:p>
    <w:p>
      <w:pPr>
        <w:spacing w:before="0" w:after="0"/>
        <w:ind w:left="120"/>
        <w:jc w:val="center"/>
      </w:pPr>
      <w:r>
        <w:rPr>
          <w:rFonts w:ascii="Times New Roman" w:hAnsi="Times New Roman"/>
          <w:b w:val="false"/>
          <w:i w:val="false"/>
          <w:color w:val="000000"/>
          <w:sz w:val="21"/>
        </w:rPr>
        <w:t>[Filed 8/21/87, Notice 6/17/87—published 9/9/87, effective 10/14/87]</w:t>
      </w:r>
    </w:p>
    <w:p>
      <w:pPr>
        <w:spacing w:before="0" w:after="0"/>
        <w:ind w:left="120"/>
        <w:jc w:val="center"/>
      </w:pPr>
      <w:r>
        <w:rPr>
          <w:rFonts w:ascii="Times New Roman" w:hAnsi="Times New Roman"/>
          <w:b w:val="false"/>
          <w:i w:val="false"/>
          <w:color w:val="000000"/>
          <w:sz w:val="21"/>
        </w:rPr>
        <w:t>[Filed 4/26/89, Notice 2/22/89—published 5/17/89, effective 6/21/89]</w:t>
      </w:r>
    </w:p>
    <w:p>
      <w:pPr>
        <w:spacing w:before="0" w:after="0"/>
        <w:ind w:left="120"/>
        <w:jc w:val="center"/>
      </w:pPr>
      <w:r>
        <w:rPr>
          <w:rFonts w:ascii="Times New Roman" w:hAnsi="Times New Roman"/>
          <w:b w:val="false"/>
          <w:i w:val="false"/>
          <w:color w:val="000000"/>
          <w:sz w:val="21"/>
        </w:rPr>
        <w:t>[Filed 4/23/92, Notice 2/19/92—published 5/13/92, effective 6/17/92]</w:t>
      </w:r>
    </w:p>
    <w:p>
      <w:pPr>
        <w:spacing w:before="0" w:after="0"/>
        <w:ind w:left="120"/>
        <w:jc w:val="center"/>
      </w:pPr>
      <w:r>
        <w:rPr>
          <w:rFonts w:ascii="Times New Roman" w:hAnsi="Times New Roman"/>
          <w:b w:val="false"/>
          <w:i w:val="false"/>
          <w:color w:val="000000"/>
          <w:sz w:val="21"/>
        </w:rPr>
        <w:t>[Filed 11/17/92, Notice 9/16/92—published 12/9/92, effective 1/13/93]</w:t>
      </w:r>
    </w:p>
    <w:p>
      <w:pPr>
        <w:spacing w:before="0" w:after="0"/>
        <w:ind w:left="120"/>
        <w:jc w:val="center"/>
      </w:pPr>
      <w:r>
        <w:rPr>
          <w:rFonts w:ascii="Times New Roman" w:hAnsi="Times New Roman"/>
          <w:b w:val="false"/>
          <w:i w:val="false"/>
          <w:color w:val="000000"/>
          <w:sz w:val="21"/>
        </w:rPr>
        <w:t>[Filed emergency 1/15/93—published 2/3/93, effective 1/15/93]</w:t>
      </w:r>
    </w:p>
    <w:p>
      <w:pPr>
        <w:spacing w:before="0" w:after="0"/>
        <w:ind w:left="120"/>
        <w:jc w:val="center"/>
      </w:pPr>
      <w:r>
        <w:rPr>
          <w:rFonts w:ascii="Times New Roman" w:hAnsi="Times New Roman"/>
          <w:b w:val="false"/>
          <w:i w:val="false"/>
          <w:color w:val="000000"/>
          <w:sz w:val="21"/>
        </w:rPr>
        <w:t>[Filed 9/23/93, Notice 4/28/93—published 10/13/93, effective 11/17/93]</w:t>
      </w:r>
    </w:p>
    <w:p>
      <w:pPr>
        <w:spacing w:before="0" w:after="0"/>
        <w:ind w:left="120"/>
        <w:jc w:val="center"/>
      </w:pPr>
      <w:r>
        <w:rPr>
          <w:rFonts w:ascii="Times New Roman" w:hAnsi="Times New Roman"/>
          <w:b w:val="false"/>
          <w:i w:val="false"/>
          <w:color w:val="000000"/>
          <w:sz w:val="21"/>
        </w:rPr>
        <w:t>[Filed 3/11/94, Notice 1/5/94—published 3/30/94, effective 5/4/94]</w:t>
      </w:r>
    </w:p>
    <w:p>
      <w:pPr>
        <w:spacing w:before="0" w:after="0"/>
        <w:ind w:left="120"/>
        <w:jc w:val="center"/>
      </w:pPr>
      <w:r>
        <w:rPr>
          <w:rFonts w:ascii="Times New Roman" w:hAnsi="Times New Roman"/>
          <w:b w:val="false"/>
          <w:i w:val="false"/>
          <w:color w:val="000000"/>
          <w:sz w:val="21"/>
        </w:rPr>
        <w:t>[Filed emergency 6/16/94—published 7/6/94, effective 6/16/94]</w:t>
      </w:r>
    </w:p>
    <w:p>
      <w:pPr>
        <w:spacing w:before="0" w:after="0"/>
        <w:ind w:left="120"/>
        <w:jc w:val="center"/>
      </w:pPr>
      <w:r>
        <w:rPr>
          <w:rFonts w:ascii="Times New Roman" w:hAnsi="Times New Roman"/>
          <w:b w:val="false"/>
          <w:i w:val="false"/>
          <w:color w:val="000000"/>
          <w:sz w:val="21"/>
        </w:rPr>
        <w:t>[Filed 7/29/94, Notice 5/25/94—published 8/17/94, effective 9/21/94]</w:t>
      </w:r>
    </w:p>
    <w:p>
      <w:pPr>
        <w:spacing w:before="0" w:after="0"/>
        <w:ind w:left="120"/>
        <w:jc w:val="center"/>
      </w:pPr>
      <w:r>
        <w:rPr>
          <w:rFonts w:ascii="Times New Roman" w:hAnsi="Times New Roman"/>
          <w:b w:val="false"/>
          <w:i w:val="false"/>
          <w:color w:val="000000"/>
          <w:sz w:val="21"/>
        </w:rPr>
        <w:t>[Filed 12/16/94, Notice 8/17/94—published 1/4/95, effective 2/8/95]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7/28/95, Notice 5/24/95—published 8/16/95, effective 9/20/95]</w:t>
      </w:r>
    </w:p>
    <w:p>
      <w:pPr>
        <w:spacing w:before="0" w:after="0"/>
        <w:ind w:left="120"/>
        <w:jc w:val="center"/>
      </w:pPr>
      <w:r>
        <w:rPr>
          <w:rFonts w:ascii="Times New Roman" w:hAnsi="Times New Roman"/>
          <w:b w:val="false"/>
          <w:i w:val="false"/>
          <w:color w:val="000000"/>
          <w:sz w:val="21"/>
        </w:rPr>
        <w:t>[Filed 7/28/95, Notice 6/21/95—published 8/16/95, effective 9/20/95]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10/6/95, Notice 7/19/95—published 10/25/95, effective 11/29/95]</w:t>
      </w:r>
    </w:p>
    <w:p>
      <w:pPr>
        <w:spacing w:before="0" w:after="0"/>
        <w:ind w:left="120"/>
        <w:jc w:val="center"/>
      </w:pPr>
      <w:r>
        <w:rPr>
          <w:rFonts w:ascii="Times New Roman" w:hAnsi="Times New Roman"/>
          <w:b w:val="false"/>
          <w:i w:val="false"/>
          <w:color w:val="000000"/>
          <w:sz w:val="21"/>
        </w:rPr>
        <w:t>[Filed 7/12/96, Notice 4/24/96—published 7/31/96, effective 9/4/96]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10/18/96, Notice 8/28/96—published 11/6/96, effective 12/11/96]</w:t>
      </w:r>
    </w:p>
    <w:p>
      <w:pPr>
        <w:spacing w:before="0" w:after="0"/>
        <w:ind w:left="120"/>
        <w:jc w:val="center"/>
      </w:pPr>
      <w:r>
        <w:rPr>
          <w:rFonts w:ascii="Times New Roman" w:hAnsi="Times New Roman"/>
          <w:b w:val="false"/>
          <w:i w:val="false"/>
          <w:color w:val="000000"/>
          <w:sz w:val="21"/>
        </w:rPr>
        <w:t>[Filed 12/24/96, Notice 11/6/96—published 1/15/97, effective 2/19/97]</w:t>
      </w:r>
    </w:p>
    <w:p>
      <w:pPr>
        <w:spacing w:before="0" w:after="0"/>
        <w:ind w:left="120"/>
        <w:jc w:val="center"/>
      </w:pPr>
      <w:r>
        <w:rPr>
          <w:rFonts w:ascii="Times New Roman" w:hAnsi="Times New Roman"/>
          <w:b w:val="false"/>
          <w:i w:val="false"/>
          <w:color w:val="000000"/>
          <w:sz w:val="21"/>
        </w:rPr>
        <w:t>[Filed 6/13/97, Notice 5/7/97—published 7/2/97, effective 8/6/97]</w:t>
      </w:r>
    </w:p>
    <w:p>
      <w:pPr>
        <w:spacing w:before="0" w:after="0"/>
        <w:ind w:left="120"/>
        <w:jc w:val="center"/>
      </w:pPr>
      <w:r>
        <w:rPr>
          <w:rFonts w:ascii="Times New Roman" w:hAnsi="Times New Roman"/>
          <w:b w:val="false"/>
          <w:i w:val="false"/>
          <w:color w:val="000000"/>
          <w:sz w:val="21"/>
        </w:rPr>
        <w:t>[Filed 5/15/98, Notice 3/11/98—published 6/3/98, effective 7/8/98]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7/10/98, Notice 6/3/98—published 7/29/98, effective 9/2/98]</w:t>
      </w:r>
    </w:p>
    <w:p>
      <w:pPr>
        <w:spacing w:before="0" w:after="0"/>
        <w:ind w:left="120"/>
        <w:jc w:val="center"/>
      </w:pPr>
      <w:r>
        <w:rPr>
          <w:rFonts w:ascii="Times New Roman" w:hAnsi="Times New Roman"/>
          <w:b w:val="false"/>
          <w:i w:val="false"/>
          <w:color w:val="000000"/>
          <w:sz w:val="21"/>
        </w:rPr>
        <w:t>[Filed 3/3/99, Notice 1/13/99—published 3/24/99, effective 4/28/99]</w:t>
      </w:r>
    </w:p>
    <w:p>
      <w:pPr>
        <w:spacing w:before="0" w:after="0"/>
        <w:ind w:left="120"/>
        <w:jc w:val="center"/>
      </w:pPr>
      <w:r>
        <w:rPr>
          <w:rFonts w:ascii="Times New Roman" w:hAnsi="Times New Roman"/>
          <w:b w:val="false"/>
          <w:i w:val="false"/>
          <w:color w:val="000000"/>
          <w:sz w:val="21"/>
        </w:rPr>
        <w:t>[Filed emergency 6/9/99—published 6/30/99, effective 6/9/99]</w:t>
      </w:r>
    </w:p>
    <w:p>
      <w:pPr>
        <w:spacing w:before="0" w:after="0"/>
        <w:ind w:left="120"/>
        <w:jc w:val="center"/>
      </w:pPr>
      <w:r>
        <w:rPr>
          <w:rFonts w:ascii="Times New Roman" w:hAnsi="Times New Roman"/>
          <w:b w:val="false"/>
          <w:i w:val="false"/>
          <w:color w:val="000000"/>
          <w:sz w:val="21"/>
        </w:rPr>
        <w:t>[Filed 6/21/02, Notice 5/15/02—published 7/10/02, effective 8/14/02]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8/1/02, Notice 6/12/02—published 8/21/02, effective 9/25/02]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8/1/02, Notice 6/26/02—published 8/21/02, effective 9/25/02]</w:t>
      </w:r>
    </w:p>
    <w:p>
      <w:pPr>
        <w:spacing w:before="0" w:after="0"/>
        <w:ind w:left="120"/>
        <w:jc w:val="center"/>
      </w:pPr>
      <w:r>
        <w:rPr>
          <w:rFonts w:ascii="Times New Roman" w:hAnsi="Times New Roman"/>
          <w:b w:val="false"/>
          <w:i w:val="false"/>
          <w:color w:val="000000"/>
          <w:sz w:val="21"/>
        </w:rPr>
        <w:t>[Filed 8/30/02, Notice 7/10/02—published 9/18/02, effective 10/23/02]</w:t>
      </w:r>
    </w:p>
    <w:p>
      <w:pPr>
        <w:spacing w:before="0" w:after="0"/>
        <w:ind w:left="120"/>
        <w:jc w:val="center"/>
      </w:pPr>
      <w:r>
        <w:rPr>
          <w:rFonts w:ascii="Times New Roman" w:hAnsi="Times New Roman"/>
          <w:b w:val="false"/>
          <w:i w:val="false"/>
          <w:color w:val="000000"/>
          <w:sz w:val="21"/>
        </w:rPr>
        <w:t>[Filed 11/1/02, Notice 8/21/02—published 11/27/02, effective 1/1/03]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11/1/02, Notice 9/4/02—published 11/27/02, effective 1/1/03]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4/23/03, Notice 3/5/03—published 5/14/03, effective 7/1/03]</w:t>
      </w:r>
    </w:p>
    <w:p>
      <w:pPr>
        <w:spacing w:before="0" w:after="0"/>
        <w:ind w:left="120"/>
        <w:jc w:val="center"/>
      </w:pPr>
      <w:r>
        <w:rPr>
          <w:rFonts w:ascii="Times New Roman" w:hAnsi="Times New Roman"/>
          <w:b w:val="false"/>
          <w:i w:val="false"/>
          <w:color w:val="000000"/>
          <w:sz w:val="21"/>
        </w:rPr>
        <w:t>[Filed 8/28/03, Notice 7/9/03—published 9/17/03, effective 10/22/03]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8/28/03, Notice 7/23/03—published 9/17/03, effective 10/22/03]</w:t>
      </w:r>
    </w:p>
    <w:p>
      <w:pPr>
        <w:spacing w:before="0" w:after="0"/>
        <w:ind w:left="120"/>
        <w:jc w:val="center"/>
      </w:pPr>
      <w:r>
        <w:rPr>
          <w:rFonts w:ascii="Times New Roman" w:hAnsi="Times New Roman"/>
          <w:b w:val="false"/>
          <w:i w:val="false"/>
          <w:color w:val="000000"/>
          <w:sz w:val="21"/>
        </w:rPr>
        <w:t>[Filed 10/9/03, Notice 8/20/03—published 10/29/03, effective 12/3/03]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11/6/03, Notice 10/1/03—published 11/26/03, effective 12/31/03]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1/14/04, Notice 11/26/03—published 2/4/04, effective 3/10/04]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2/6/04, Notice 12/24/03—published 3/3/04, effective 4/7/04]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4/23/04, Notice 3/3/04—published 5/12/04, effective 6/16/04]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without Notice 4/29/04—published 5/26/04, effective 7/1/04]</w:t>
      </w:r>
    </w:p>
    <w:p>
      <w:pPr>
        <w:spacing w:before="0" w:after="0"/>
        <w:ind w:left="120"/>
        <w:jc w:val="center"/>
      </w:pPr>
      <w:r>
        <w:rPr>
          <w:rFonts w:ascii="Times New Roman" w:hAnsi="Times New Roman"/>
          <w:b w:val="false"/>
          <w:i w:val="false"/>
          <w:color w:val="000000"/>
          <w:sz w:val="21"/>
        </w:rPr>
        <w:t>[Filed without Notice 5/3/04—published 5/26/04, effective 7/1/04]</w:t>
      </w:r>
    </w:p>
    <w:p>
      <w:pPr>
        <w:spacing w:before="0" w:after="0"/>
        <w:ind w:left="120"/>
        <w:jc w:val="center"/>
      </w:pPr>
      <w:r>
        <w:rPr>
          <w:rFonts w:ascii="Times New Roman" w:hAnsi="Times New Roman"/>
          <w:b w:val="false"/>
          <w:i w:val="false"/>
          <w:color w:val="000000"/>
          <w:sz w:val="21"/>
        </w:rPr>
        <w:t>[Filed without Notice 5/4/04—published 5/26/04, effective 7/1/04]</w:t>
      </w:r>
    </w:p>
    <w:p>
      <w:pPr>
        <w:spacing w:before="0" w:after="0"/>
        <w:ind w:left="120"/>
        <w:jc w:val="center"/>
      </w:pPr>
      <w:r>
        <w:rPr>
          <w:rFonts w:ascii="Times New Roman" w:hAnsi="Times New Roman"/>
          <w:b w:val="false"/>
          <w:i w:val="false"/>
          <w:color w:val="000000"/>
          <w:sz w:val="21"/>
        </w:rPr>
        <w:t>[Filed 6/24/04, Notice 5/12/04—published 7/21/04, effective 8/25/04]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8/26/04, Notice 7/21/04—published 9/15/04, effective 10/20/04]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[Filed 1/28/05, Notice 11/10/04—published 2/16/05, effective 3/23/05]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1/28/05, Notice 12/22/04—published 2/16/05, effective 3/23/05]</w:t>
      </w:r>
    </w:p>
    <w:p>
      <w:pPr>
        <w:spacing w:before="0" w:after="0"/>
        <w:ind w:left="120"/>
        <w:jc w:val="center"/>
      </w:pPr>
      <w:r>
        <w:rPr>
          <w:rFonts w:ascii="Times New Roman" w:hAnsi="Times New Roman"/>
          <w:b w:val="false"/>
          <w:i w:val="false"/>
          <w:color w:val="000000"/>
          <w:sz w:val="21"/>
        </w:rPr>
        <w:t>[Filed 5/23/05, Notice 3/16/05—published 6/22/05, effective 7/27/05]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without Notice 5/24/05—published 6/22/05, effective 7/27/05]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8/17/05, Notice 5/11/05—published 9/14/05, effective 10/19/05]</w:t>
      </w:r>
    </w:p>
    <w:p>
      <w:pPr>
        <w:spacing w:before="0" w:after="0"/>
        <w:ind w:left="120"/>
        <w:jc w:val="center"/>
      </w:pPr>
      <w:r>
        <w:rPr>
          <w:rFonts w:ascii="Times New Roman" w:hAnsi="Times New Roman"/>
          <w:b w:val="false"/>
          <w:i w:val="false"/>
          <w:color w:val="000000"/>
          <w:sz w:val="21"/>
        </w:rPr>
        <w:t>[Filed 12/2/05, Notice 9/14/05—published 12/21/05, effective 1/25/06]</w:t>
      </w:r>
    </w:p>
    <w:p>
      <w:pPr>
        <w:spacing w:before="0" w:after="0"/>
        <w:ind w:left="120"/>
        <w:jc w:val="center"/>
      </w:pPr>
      <w:r>
        <w:rPr>
          <w:rFonts w:ascii="Times New Roman" w:hAnsi="Times New Roman"/>
          <w:b w:val="false"/>
          <w:i w:val="false"/>
          <w:color w:val="000000"/>
          <w:sz w:val="21"/>
        </w:rPr>
        <w:t>[Filed 12/2/05, Notice 10/26/05—published 12/21/05, effective 1/25/06]</w:t>
      </w:r>
    </w:p>
    <w:p>
      <w:pPr>
        <w:spacing w:before="0" w:after="0"/>
        <w:ind w:left="120"/>
        <w:jc w:val="center"/>
      </w:pPr>
      <w:r>
        <w:rPr>
          <w:rFonts w:ascii="Times New Roman" w:hAnsi="Times New Roman"/>
          <w:b w:val="false"/>
          <w:i w:val="false"/>
          <w:color w:val="000000"/>
          <w:sz w:val="21"/>
        </w:rPr>
        <w:t>[Filed 2/8/06, Notice 12/21/05—published 3/1/06, effective 4/5/06]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7/13/06, Notice 4/26/06—published 8/2/06, effective 9/6/06]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9/25/06, Notice 8/2/06—published 10/25/06, effective 11/29/06]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3/7/07, Notice 1/17/07—published 3/28/07, effective 5/2/07]</w:t>
      </w:r>
    </w:p>
    <w:p>
      <w:pPr>
        <w:spacing w:before="0" w:after="0"/>
        <w:ind w:left="120"/>
        <w:jc w:val="center"/>
      </w:pPr>
      <w:r>
        <w:rPr>
          <w:rFonts w:ascii="Times New Roman" w:hAnsi="Times New Roman"/>
          <w:b w:val="false"/>
          <w:i w:val="false"/>
          <w:color w:val="000000"/>
          <w:sz w:val="21"/>
        </w:rPr>
        <w:t>[Filed without Notice 7/11/07—published 8/1/07, effective 9/5/07]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without Notice 7/12/07—published 8/1/07, effective 9/5/07]</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4/2/08, Notice 2/13/08—published 4/23/08, effective 5/28/08]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without Notice </w:t>
      </w:r>
      <w:r>
        <w:rPr>
          <w:rFonts w:ascii="Times New Roman" w:hAnsi="Times New Roman"/>
          <w:b w:val="false"/>
          <w:i w:val="false"/>
          <w:color w:val="000000"/>
          <w:sz w:val="21"/>
        </w:rPr>
        <w:t>9/5/08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without Notice </w:t>
      </w:r>
      <w:r>
        <w:rPr>
          <w:rFonts w:ascii="Times New Roman" w:hAnsi="Times New Roman"/>
          <w:b w:val="false"/>
          <w:i w:val="false"/>
          <w:color w:val="000000"/>
          <w:sz w:val="21"/>
        </w:rPr>
        <w:t>11/11/08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1/7/09</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9/24/08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12/31/08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2/4/09</w:t>
      </w:r>
      <w:r>
        <w:rPr>
          <w:rFonts w:ascii="Times New Roman" w:hAnsi="Times New Roman"/>
          <w:b w:val="false"/>
          <w:i w:val="false"/>
          <w:color w:val="000000"/>
          <w:sz w:val="21"/>
        </w:rPr>
        <w:t>]</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ARC 7646B</w:t>
      </w:r>
      <w:r>
        <w:rPr>
          <w:rFonts w:ascii="Times New Roman" w:hAnsi="Times New Roman"/>
          <w:b w:val="false"/>
          <w:i w:val="false"/>
          <w:color w:val="000000"/>
          <w:sz w:val="21"/>
        </w:rPr>
        <w:t xml:space="preserve"> (Notice ARC 7377B, IAB 12/3/08)</w:t>
      </w:r>
      <w:r>
        <w:rPr>
          <w:rFonts w:ascii="Times New Roman" w:hAnsi="Times New Roman"/>
          <w:b w:val="false"/>
          <w:i w:val="false"/>
          <w:color w:val="000000"/>
          <w:sz w:val="21"/>
        </w:rPr>
        <w:t>, IAB 3/25/09, effective 4/29/09]</w:t>
      </w:r>
      <w:r>
        <w:br/>
      </w:r>
      <w:r>
        <w:rPr>
          <w:rFonts w:ascii="Times New Roman" w:hAnsi="Times New Roman"/>
          <w:b w:val="false"/>
          <w:i w:val="false"/>
          <w:color w:val="000000"/>
          <w:sz w:val="21"/>
        </w:rPr>
        <w:t>[Filed ARC 7647B</w:t>
      </w:r>
      <w:r>
        <w:rPr>
          <w:rFonts w:ascii="Times New Roman" w:hAnsi="Times New Roman"/>
          <w:b w:val="false"/>
          <w:i w:val="false"/>
          <w:color w:val="000000"/>
          <w:sz w:val="21"/>
        </w:rPr>
        <w:t xml:space="preserve"> (Notice ARC 7373B, IAB 12/3/08)</w:t>
      </w:r>
      <w:r>
        <w:rPr>
          <w:rFonts w:ascii="Times New Roman" w:hAnsi="Times New Roman"/>
          <w:b w:val="false"/>
          <w:i w:val="false"/>
          <w:color w:val="000000"/>
          <w:sz w:val="21"/>
        </w:rPr>
        <w:t>, IAB 3/25/09, effective 4/29/09]</w:t>
      </w:r>
      <w:r>
        <w:br/>
      </w:r>
      <w:r>
        <w:rPr>
          <w:rFonts w:ascii="Times New Roman" w:hAnsi="Times New Roman"/>
          <w:b w:val="false"/>
          <w:i w:val="false"/>
          <w:color w:val="000000"/>
          <w:sz w:val="21"/>
        </w:rPr>
        <w:t>[Filed ARC 7648B</w:t>
      </w:r>
      <w:r>
        <w:rPr>
          <w:rFonts w:ascii="Times New Roman" w:hAnsi="Times New Roman"/>
          <w:b w:val="false"/>
          <w:i w:val="false"/>
          <w:color w:val="000000"/>
          <w:sz w:val="21"/>
        </w:rPr>
        <w:t xml:space="preserve"> (Notice ARC 7380B, IAB 12/3/08)</w:t>
      </w:r>
      <w:r>
        <w:rPr>
          <w:rFonts w:ascii="Times New Roman" w:hAnsi="Times New Roman"/>
          <w:b w:val="false"/>
          <w:i w:val="false"/>
          <w:color w:val="000000"/>
          <w:sz w:val="21"/>
        </w:rPr>
        <w:t>, IAB 3/25/09, effective 4/29/09]</w:t>
      </w:r>
      <w:r>
        <w:br/>
      </w:r>
      <w:r>
        <w:rPr>
          <w:rFonts w:ascii="Times New Roman" w:hAnsi="Times New Roman"/>
          <w:b w:val="false"/>
          <w:i w:val="false"/>
          <w:color w:val="000000"/>
          <w:sz w:val="21"/>
        </w:rPr>
        <w:t>[Filed ARC 7645B</w:t>
      </w:r>
      <w:r>
        <w:rPr>
          <w:rFonts w:ascii="Times New Roman" w:hAnsi="Times New Roman"/>
          <w:b w:val="false"/>
          <w:i w:val="false"/>
          <w:color w:val="000000"/>
          <w:sz w:val="21"/>
        </w:rPr>
        <w:t xml:space="preserve"> (Notice ARC 7455B, IAB 12/31/08)</w:t>
      </w:r>
      <w:r>
        <w:rPr>
          <w:rFonts w:ascii="Times New Roman" w:hAnsi="Times New Roman"/>
          <w:b w:val="false"/>
          <w:i w:val="false"/>
          <w:color w:val="000000"/>
          <w:sz w:val="21"/>
        </w:rPr>
        <w:t>, IAB 3/25/09, effective 4/29/09]</w:t>
      </w:r>
    </w:p>
    <w:p>
      <w:pPr>
        <w:spacing w:before="0" w:after="0"/>
        <w:ind w:left="120"/>
        <w:jc w:val="center"/>
      </w:pPr>
      <w:r>
        <w:rPr>
          <w:rFonts w:ascii="Times New Roman" w:hAnsi="Times New Roman"/>
          <w:b w:val="false"/>
          <w:i w:val="false"/>
          <w:color w:val="000000"/>
          <w:sz w:val="21"/>
        </w:rPr>
        <w:t>[Filed Without Notice ARC 7800B, IAB 6/3/09, effective 7/8/09]</w:t>
      </w:r>
      <w:r>
        <w:br/>
      </w:r>
      <w:r>
        <w:rPr>
          <w:rFonts w:ascii="Times New Roman" w:hAnsi="Times New Roman"/>
          <w:b w:val="false"/>
          <w:i w:val="false"/>
          <w:color w:val="000000"/>
          <w:sz w:val="21"/>
        </w:rPr>
        <w:t>[Filed Without Notice ARC 7801B, IAB 6/3/09, effective 7/8/09]</w:t>
      </w:r>
    </w:p>
    <w:p>
      <w:pPr>
        <w:spacing w:before="0" w:after="0"/>
        <w:ind w:left="120"/>
        <w:jc w:val="center"/>
      </w:pPr>
      <w:r>
        <w:rPr>
          <w:rFonts w:ascii="Times New Roman" w:hAnsi="Times New Roman"/>
          <w:b w:val="false"/>
          <w:i w:val="false"/>
          <w:color w:val="000000"/>
          <w:sz w:val="21"/>
        </w:rPr>
        <w:t>[Filed ARC 7866B</w:t>
      </w:r>
      <w:r>
        <w:rPr>
          <w:rFonts w:ascii="Times New Roman" w:hAnsi="Times New Roman"/>
          <w:b w:val="false"/>
          <w:i w:val="false"/>
          <w:color w:val="000000"/>
          <w:sz w:val="21"/>
        </w:rPr>
        <w:t xml:space="preserve"> (Notice ARC 7705B, IAB 4/8/09)</w:t>
      </w:r>
      <w:r>
        <w:rPr>
          <w:rFonts w:ascii="Times New Roman" w:hAnsi="Times New Roman"/>
          <w:b w:val="false"/>
          <w:i w:val="false"/>
          <w:color w:val="000000"/>
          <w:sz w:val="21"/>
        </w:rPr>
        <w:t>, IAB 6/17/09, effective 7/22/09]</w:t>
      </w:r>
    </w:p>
    <w:p>
      <w:pPr>
        <w:spacing w:before="0" w:after="0"/>
        <w:ind w:left="120"/>
        <w:jc w:val="center"/>
      </w:pPr>
      <w:r>
        <w:rPr>
          <w:rFonts w:ascii="Times New Roman" w:hAnsi="Times New Roman"/>
          <w:b w:val="false"/>
          <w:i w:val="false"/>
          <w:color w:val="000000"/>
          <w:sz w:val="21"/>
        </w:rPr>
        <w:t>[Filed ARC 7995B</w:t>
      </w:r>
      <w:r>
        <w:rPr>
          <w:rFonts w:ascii="Times New Roman" w:hAnsi="Times New Roman"/>
          <w:b w:val="false"/>
          <w:i w:val="false"/>
          <w:color w:val="000000"/>
          <w:sz w:val="21"/>
        </w:rPr>
        <w:t xml:space="preserve"> (Notice ARC 7806B, IAB 6/3/09)</w:t>
      </w:r>
      <w:r>
        <w:rPr>
          <w:rFonts w:ascii="Times New Roman" w:hAnsi="Times New Roman"/>
          <w:b w:val="false"/>
          <w:i w:val="false"/>
          <w:color w:val="000000"/>
          <w:sz w:val="21"/>
        </w:rPr>
        <w:t>, IAB 7/29/09, effective 9/2/09]</w:t>
      </w:r>
      <w:r>
        <w:br/>
      </w:r>
      <w:r>
        <w:rPr>
          <w:rFonts w:ascii="Times New Roman" w:hAnsi="Times New Roman"/>
          <w:b w:val="false"/>
          <w:i w:val="false"/>
          <w:color w:val="000000"/>
          <w:sz w:val="21"/>
        </w:rPr>
        <w:t>[Filed ARC 7994B</w:t>
      </w:r>
      <w:r>
        <w:rPr>
          <w:rFonts w:ascii="Times New Roman" w:hAnsi="Times New Roman"/>
          <w:b w:val="false"/>
          <w:i w:val="false"/>
          <w:color w:val="000000"/>
          <w:sz w:val="21"/>
        </w:rPr>
        <w:t xml:space="preserve"> (Notice ARC 7807B, IAB 6/3/09)</w:t>
      </w:r>
      <w:r>
        <w:rPr>
          <w:rFonts w:ascii="Times New Roman" w:hAnsi="Times New Roman"/>
          <w:b w:val="false"/>
          <w:i w:val="false"/>
          <w:color w:val="000000"/>
          <w:sz w:val="21"/>
        </w:rPr>
        <w:t>, IAB 7/29/09, effective 9/2/09]</w:t>
      </w:r>
      <w:r>
        <w:br/>
      </w:r>
      <w:r>
        <w:rPr>
          <w:rFonts w:ascii="Times New Roman" w:hAnsi="Times New Roman"/>
          <w:b w:val="false"/>
          <w:i w:val="false"/>
          <w:color w:val="000000"/>
          <w:sz w:val="21"/>
        </w:rPr>
        <w:t>[Filed ARC 7992B</w:t>
      </w:r>
      <w:r>
        <w:rPr>
          <w:rFonts w:ascii="Times New Roman" w:hAnsi="Times New Roman"/>
          <w:b w:val="false"/>
          <w:i w:val="false"/>
          <w:color w:val="000000"/>
          <w:sz w:val="21"/>
        </w:rPr>
        <w:t xml:space="preserve"> (Notice ARC 7809B, IAB 6/3/09)</w:t>
      </w:r>
      <w:r>
        <w:rPr>
          <w:rFonts w:ascii="Times New Roman" w:hAnsi="Times New Roman"/>
          <w:b w:val="false"/>
          <w:i w:val="false"/>
          <w:color w:val="000000"/>
          <w:sz w:val="21"/>
        </w:rPr>
        <w:t>, IAB 7/29/09, effective 9/2/09]</w:t>
      </w:r>
      <w:r>
        <w:br/>
      </w:r>
      <w:r>
        <w:rPr>
          <w:rFonts w:ascii="Times New Roman" w:hAnsi="Times New Roman"/>
          <w:b w:val="false"/>
          <w:i w:val="false"/>
          <w:color w:val="000000"/>
          <w:sz w:val="21"/>
        </w:rPr>
        <w:t>[Filed ARC 7998B</w:t>
      </w:r>
      <w:r>
        <w:rPr>
          <w:rFonts w:ascii="Times New Roman" w:hAnsi="Times New Roman"/>
          <w:b w:val="false"/>
          <w:i w:val="false"/>
          <w:color w:val="000000"/>
          <w:sz w:val="21"/>
        </w:rPr>
        <w:t xml:space="preserve"> (Notice ARC 7803B, IAB 6/3/09)</w:t>
      </w:r>
      <w:r>
        <w:rPr>
          <w:rFonts w:ascii="Times New Roman" w:hAnsi="Times New Roman"/>
          <w:b w:val="false"/>
          <w:i w:val="false"/>
          <w:color w:val="000000"/>
          <w:sz w:val="21"/>
        </w:rPr>
        <w:t>, IAB 7/29/09, effective 9/2/09]</w:t>
      </w:r>
      <w:r>
        <w:br/>
      </w:r>
      <w:r>
        <w:rPr>
          <w:rFonts w:ascii="Times New Roman" w:hAnsi="Times New Roman"/>
          <w:b w:val="false"/>
          <w:i w:val="false"/>
          <w:color w:val="000000"/>
          <w:sz w:val="21"/>
        </w:rPr>
        <w:t>[Filed ARC 7996B</w:t>
      </w:r>
      <w:r>
        <w:rPr>
          <w:rFonts w:ascii="Times New Roman" w:hAnsi="Times New Roman"/>
          <w:b w:val="false"/>
          <w:i w:val="false"/>
          <w:color w:val="000000"/>
          <w:sz w:val="21"/>
        </w:rPr>
        <w:t xml:space="preserve"> (Notice ARC 7805B, IAB 6/3/09)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8286B</w:t>
      </w:r>
      <w:r>
        <w:rPr>
          <w:rFonts w:ascii="Times New Roman" w:hAnsi="Times New Roman"/>
          <w:b w:val="false"/>
          <w:i w:val="false"/>
          <w:color w:val="000000"/>
          <w:sz w:val="21"/>
        </w:rPr>
        <w:t xml:space="preserve"> (Notice ARC 7999B, IAB 7/29/09)</w:t>
      </w:r>
      <w:r>
        <w:rPr>
          <w:rFonts w:ascii="Times New Roman" w:hAnsi="Times New Roman"/>
          <w:b w:val="false"/>
          <w:i w:val="false"/>
          <w:color w:val="000000"/>
          <w:sz w:val="21"/>
        </w:rPr>
        <w:t>, IAB 11/18/09, effective 12/23/09]</w:t>
      </w:r>
      <w:r>
        <w:br/>
      </w:r>
      <w:r>
        <w:rPr>
          <w:rFonts w:ascii="Times New Roman" w:hAnsi="Times New Roman"/>
          <w:b w:val="false"/>
          <w:i w:val="false"/>
          <w:color w:val="000000"/>
          <w:sz w:val="21"/>
        </w:rPr>
        <w:t>[Filed Without Notice ARC 8290B, IAB 11/18/09, effective 12/23/09]</w:t>
      </w:r>
      <w:r>
        <w:br/>
      </w:r>
      <w:r>
        <w:rPr>
          <w:rFonts w:ascii="Times New Roman" w:hAnsi="Times New Roman"/>
          <w:b w:val="false"/>
          <w:i w:val="false"/>
          <w:color w:val="000000"/>
          <w:sz w:val="21"/>
        </w:rPr>
        <w:t>[Filed Without Notice ARC 8289B, IAB 11/18/09, effective 12/23/09]</w:t>
      </w:r>
    </w:p>
    <w:p>
      <w:pPr>
        <w:spacing w:before="0" w:after="0"/>
        <w:ind w:left="120"/>
        <w:jc w:val="center"/>
      </w:pPr>
      <w:r>
        <w:rPr>
          <w:rFonts w:ascii="Times New Roman" w:hAnsi="Times New Roman"/>
          <w:b w:val="false"/>
          <w:i w:val="false"/>
          <w:color w:val="000000"/>
          <w:sz w:val="21"/>
        </w:rPr>
        <w:t>[Filed Emergency ARC 8826B, IAB 6/2/10, effective 5/17/10]</w:t>
      </w:r>
      <w:r>
        <w:br/>
      </w:r>
      <w:r>
        <w:rPr>
          <w:rFonts w:ascii="Times New Roman" w:hAnsi="Times New Roman"/>
          <w:b w:val="false"/>
          <w:i w:val="false"/>
          <w:color w:val="000000"/>
          <w:sz w:val="21"/>
        </w:rPr>
        <w:t>[Filed Without Notice ARC 8787B, IAB 6/2/10, effective 7/7/10]</w:t>
      </w:r>
      <w:r>
        <w:br/>
      </w:r>
      <w:r>
        <w:rPr>
          <w:rFonts w:ascii="Times New Roman" w:hAnsi="Times New Roman"/>
          <w:b w:val="false"/>
          <w:i w:val="false"/>
          <w:color w:val="000000"/>
          <w:sz w:val="21"/>
        </w:rPr>
        <w:t>[Filed Without Notice ARC 8788B, IAB 6/2/10, effective 7/7/10]</w:t>
      </w:r>
    </w:p>
    <w:p>
      <w:pPr>
        <w:spacing w:before="0" w:after="0"/>
        <w:ind w:left="120"/>
        <w:jc w:val="center"/>
      </w:pPr>
      <w:r>
        <w:rPr>
          <w:rFonts w:ascii="Times New Roman" w:hAnsi="Times New Roman"/>
          <w:b w:val="false"/>
          <w:i w:val="false"/>
          <w:color w:val="000000"/>
          <w:sz w:val="21"/>
        </w:rPr>
        <w:t>[Filed ARC 9031B</w:t>
      </w:r>
      <w:r>
        <w:rPr>
          <w:rFonts w:ascii="Times New Roman" w:hAnsi="Times New Roman"/>
          <w:b w:val="false"/>
          <w:i w:val="false"/>
          <w:color w:val="000000"/>
          <w:sz w:val="21"/>
        </w:rPr>
        <w:t xml:space="preserve"> (Notice ARC 8795B, IAB 6/2/10)</w:t>
      </w:r>
      <w:r>
        <w:rPr>
          <w:rFonts w:ascii="Times New Roman" w:hAnsi="Times New Roman"/>
          <w:b w:val="false"/>
          <w:i w:val="false"/>
          <w:color w:val="000000"/>
          <w:sz w:val="21"/>
        </w:rPr>
        <w:t>, IAB 8/25/10, effective 9/29/10]</w:t>
      </w:r>
    </w:p>
    <w:p>
      <w:pPr>
        <w:spacing w:before="0" w:after="0"/>
        <w:ind w:left="120"/>
        <w:jc w:val="center"/>
      </w:pPr>
      <w:r>
        <w:rPr>
          <w:rFonts w:ascii="Times New Roman" w:hAnsi="Times New Roman"/>
          <w:b w:val="false"/>
          <w:i w:val="false"/>
          <w:color w:val="000000"/>
          <w:sz w:val="21"/>
        </w:rPr>
        <w:t>[Filed ARC 9216B</w:t>
      </w:r>
      <w:r>
        <w:rPr>
          <w:rFonts w:ascii="Times New Roman" w:hAnsi="Times New Roman"/>
          <w:b w:val="false"/>
          <w:i w:val="false"/>
          <w:color w:val="000000"/>
          <w:sz w:val="21"/>
        </w:rPr>
        <w:t xml:space="preserve"> (Notice ARC 9041B, IAB 9/8/10)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1390C</w:t>
      </w:r>
      <w:r>
        <w:rPr>
          <w:rFonts w:ascii="Times New Roman" w:hAnsi="Times New Roman"/>
          <w:b w:val="false"/>
          <w:i w:val="false"/>
          <w:color w:val="000000"/>
          <w:sz w:val="21"/>
        </w:rPr>
        <w:t xml:space="preserve"> (Notice ARC 1020C, IAB 9/18/13)</w:t>
      </w:r>
      <w:r>
        <w:rPr>
          <w:rFonts w:ascii="Times New Roman" w:hAnsi="Times New Roman"/>
          <w:b w:val="false"/>
          <w:i w:val="false"/>
          <w:color w:val="000000"/>
          <w:sz w:val="21"/>
        </w:rPr>
        <w:t>, IAB 4/2/14, effective 5/7/14]</w:t>
      </w:r>
    </w:p>
    <w:p>
      <w:pPr>
        <w:spacing w:before="0" w:after="0"/>
        <w:ind w:left="120"/>
        <w:jc w:val="center"/>
      </w:pPr>
      <w:r>
        <w:rPr>
          <w:rFonts w:ascii="Times New Roman" w:hAnsi="Times New Roman"/>
          <w:b w:val="false"/>
          <w:i w:val="false"/>
          <w:color w:val="000000"/>
          <w:sz w:val="21"/>
        </w:rPr>
        <w:t>[Filed ARC 5525C</w:t>
      </w:r>
      <w:r>
        <w:rPr>
          <w:rFonts w:ascii="Times New Roman" w:hAnsi="Times New Roman"/>
          <w:b w:val="false"/>
          <w:i w:val="false"/>
          <w:color w:val="000000"/>
          <w:sz w:val="21"/>
        </w:rPr>
        <w:t xml:space="preserve"> (Notice ARC 5236C, IAB 10/21/20)</w:t>
      </w:r>
      <w:r>
        <w:rPr>
          <w:rFonts w:ascii="Times New Roman" w:hAnsi="Times New Roman"/>
          <w:b w:val="false"/>
          <w:i w:val="false"/>
          <w:color w:val="000000"/>
          <w:sz w:val="21"/>
        </w:rPr>
        <w:t>, IAB 3/24/21, effective 4/28/21]</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Effective date of rule 4.16 delayed by the Administrative Rules Review Committee 45 days after convening of the next General Assembly pursuant to §17A.8(9).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3.2.pdf" Type="http://schemas.openxmlformats.org/officeDocument/2006/relationships/hyperlink" Id="rId5"/>
    <Relationship TargetMode="External" Target="https://www.legis.iowa.gov/docs/iac/rule/351.4.11.pdf" Type="http://schemas.openxmlformats.org/officeDocument/2006/relationships/hyperlink" Id="rId6"/>
    <Relationship TargetMode="External" Target="https://www.legis.iowa.gov/docs/ico/chapter/68A.102.pdf" Type="http://schemas.openxmlformats.org/officeDocument/2006/relationships/hyperlink" Id="rId7"/>
    <Relationship TargetMode="External" Target="https://www.legis.iowa.gov/docs/iac/rule/351.4.35.pdf" Type="http://schemas.openxmlformats.org/officeDocument/2006/relationships/hyperlink" Id="rId8"/>
    <Relationship TargetMode="External" Target="https://www.legis.iowa.gov/docs/ico/chapter/68A.404.pdf" Type="http://schemas.openxmlformats.org/officeDocument/2006/relationships/hyperlink" Id="rId9"/>
    <Relationship TargetMode="External" Target="http://ethics.iowa.gov" Type="http://schemas.openxmlformats.org/officeDocument/2006/relationships/hyperlink" Id="rId10"/>
    <Relationship TargetMode="External" Target="https://www.legis.iowa.gov/docs/iac/rule/351.4.1.pdf" Type="http://schemas.openxmlformats.org/officeDocument/2006/relationships/hyperlink" Id="rId11"/>
    <Relationship TargetMode="External" Target="https://www.legis.iowa.gov/docs/ico/chapter/68A.pdf" Type="http://schemas.openxmlformats.org/officeDocument/2006/relationships/hyperlink" Id="rId12"/>
    <Relationship TargetMode="External" Target="https://www.legis.iowa.gov/docs/ico/chapter/68B.pdf" Type="http://schemas.openxmlformats.org/officeDocument/2006/relationships/hyperlink" Id="rId13"/>
    <Relationship TargetMode="External" Target="https://www.legis.iowa.gov/docs/ico/chapter/68A.pdf" Type="http://schemas.openxmlformats.org/officeDocument/2006/relationships/hyperlink" Id="rId14"/>
    <Relationship TargetMode="External" Target="http://ethics.iowa.gov" Type="http://schemas.openxmlformats.org/officeDocument/2006/relationships/hyperlink" Id="rId15"/>
    <Relationship TargetMode="External" Target="https://www.legis.iowa.gov/docs/ico/chapter/68A.201.pdf" Type="http://schemas.openxmlformats.org/officeDocument/2006/relationships/hyperlink" Id="rId16"/>
    <Relationship TargetMode="External" Target="https://www.legis.iowa.gov/docs/ico/chapter/68A.401.pdf" Type="http://schemas.openxmlformats.org/officeDocument/2006/relationships/hyperlink" Id="rId17"/>
    <Relationship TargetMode="External" Target="https://www.legis.iowa.gov/docs/ico/chapter/68A.pdf" Type="http://schemas.openxmlformats.org/officeDocument/2006/relationships/hyperlink" Id="rId18"/>
    <Relationship TargetMode="External" Target="https://www.legis.iowa.gov/docs/ico/chapter/68A.201.pdf" Type="http://schemas.openxmlformats.org/officeDocument/2006/relationships/hyperlink" Id="rId19"/>
    <Relationship TargetMode="External" Target="https://www.legis.iowa.gov/docs/ico/chapter/68A.201.pdf" Type="http://schemas.openxmlformats.org/officeDocument/2006/relationships/hyperlink" Id="rId20"/>
    <Relationship TargetMode="External" Target="https://www.legis.iowa.gov/docs/ico/chapter/68A.201.pdf" Type="http://schemas.openxmlformats.org/officeDocument/2006/relationships/hyperlink" Id="rId21"/>
    <Relationship TargetMode="External" Target="https://www.legis.iowa.gov/docs/ico/chapter/68A.201.pdf" Type="http://schemas.openxmlformats.org/officeDocument/2006/relationships/hyperlink" Id="rId22"/>
    <Relationship TargetMode="External" Target="https://www.legis.iowa.gov/docs/ico/chapter/68A.203.pdf" Type="http://schemas.openxmlformats.org/officeDocument/2006/relationships/hyperlink" Id="rId23"/>
    <Relationship TargetMode="External" Target="https://www.legis.iowa.gov/docs/ico/chapter/68A.201.pdf" Type="http://schemas.openxmlformats.org/officeDocument/2006/relationships/hyperlink" Id="rId24"/>
    <Relationship TargetMode="External" Target="https://www.legis.iowa.gov/docs/ico/chapter/68A.203.pdf" Type="http://schemas.openxmlformats.org/officeDocument/2006/relationships/hyperlink" Id="rId25"/>
    <Relationship TargetMode="External" Target="https://www.legis.iowa.gov/docs/ico/chapter/68A.401.pdf" Type="http://schemas.openxmlformats.org/officeDocument/2006/relationships/hyperlink" Id="rId26"/>
    <Relationship TargetMode="External" Target="https://www.legis.iowa.gov/docs/ico/chapter/68A.102.pdf" Type="http://schemas.openxmlformats.org/officeDocument/2006/relationships/hyperlink" Id="rId27"/>
    <Relationship TargetMode="External" Target="https://www.legis.iowa.gov/docs/ico/chapter/68A.201.pdf" Type="http://schemas.openxmlformats.org/officeDocument/2006/relationships/hyperlink" Id="rId28"/>
    <Relationship TargetMode="External" Target="https://www.legis.iowa.gov/docs/ico/chapter/68A.201.pdf" Type="http://schemas.openxmlformats.org/officeDocument/2006/relationships/hyperlink" Id="rId29"/>
    <Relationship TargetMode="External" Target="https://www.legis.iowa.gov/docs/iac/rule/351.4.1.pdf" Type="http://schemas.openxmlformats.org/officeDocument/2006/relationships/hyperlink" Id="rId30"/>
    <Relationship TargetMode="External" Target="https://www.legis.iowa.gov/docs/ico/chapter/68A.102.pdf" Type="http://schemas.openxmlformats.org/officeDocument/2006/relationships/hyperlink" Id="rId31"/>
    <Relationship TargetMode="External" Target="https://www.legis.iowa.gov/docs/ico/chapter/68A.402.pdf" Type="http://schemas.openxmlformats.org/officeDocument/2006/relationships/hyperlink" Id="rId32"/>
    <Relationship TargetMode="External" Target="https://www.legis.iowa.gov/docs/ico/chapter/68A.102.pdf" Type="http://schemas.openxmlformats.org/officeDocument/2006/relationships/hyperlink" Id="rId33"/>
    <Relationship TargetMode="External" Target="https://www.legis.iowa.gov/docs/ico/chapter/68A.304.pdf" Type="http://schemas.openxmlformats.org/officeDocument/2006/relationships/hyperlink" Id="rId34"/>
    <Relationship TargetMode="External" Target="https://www.legis.iowa.gov/docs/ico/chapter/68A.402.pdf" Type="http://schemas.openxmlformats.org/officeDocument/2006/relationships/hyperlink" Id="rId35"/>
    <Relationship TargetMode="External" Target="http://ethics.iowa.gov" Type="http://schemas.openxmlformats.org/officeDocument/2006/relationships/hyperlink" Id="rId36"/>
    <Relationship TargetMode="External" Target="http://ethics.iowa.gov" Type="http://schemas.openxmlformats.org/officeDocument/2006/relationships/hyperlink" Id="rId37"/>
    <Relationship TargetMode="External" Target="https://www.legis.iowa.gov/docs/ico/chapter/68A.pdf" Type="http://schemas.openxmlformats.org/officeDocument/2006/relationships/hyperlink" Id="rId38"/>
    <Relationship TargetMode="External" Target="https://www.legis.iowa.gov/docs/ico/chapter/68A.pdf" Type="http://schemas.openxmlformats.org/officeDocument/2006/relationships/hyperlink" Id="rId39"/>
    <Relationship TargetMode="External" Target="https://www.legis.iowa.gov/docs/ico/chapter/305.pdf" Type="http://schemas.openxmlformats.org/officeDocument/2006/relationships/hyperlink" Id="rId40"/>
    <Relationship TargetMode="External" Target="http://ethics.iowa.gov" Type="http://schemas.openxmlformats.org/officeDocument/2006/relationships/hyperlink" Id="rId41"/>
    <Relationship TargetMode="External" Target="https://www.legis.iowa.gov/docs/ico/chapter/68A.401.pdf" Type="http://schemas.openxmlformats.org/officeDocument/2006/relationships/hyperlink" Id="rId42"/>
    <Relationship TargetMode="External" Target="https://www.legis.iowa.gov/docs/ico/chapter/68A.402.pdf" Type="http://schemas.openxmlformats.org/officeDocument/2006/relationships/hyperlink" Id="rId43"/>
    <Relationship TargetMode="External" Target="https://www.legis.iowa.gov/docs/iac/rule/351.4.9.pdf" Type="http://schemas.openxmlformats.org/officeDocument/2006/relationships/hyperlink" Id="rId44"/>
    <Relationship TargetMode="External" Target="https://www.legis.iowa.gov/docs/iac/rule/351.4.9.pdf" Type="http://schemas.openxmlformats.org/officeDocument/2006/relationships/hyperlink" Id="rId45"/>
    <Relationship TargetMode="External" Target="https://www.legis.iowa.gov/docs/iac/rule/351.4.9.pdf" Type="http://schemas.openxmlformats.org/officeDocument/2006/relationships/hyperlink" Id="rId46"/>
    <Relationship TargetMode="External" Target="https://www.legis.iowa.gov/docs/iac/rule/351.4.9.pdf" Type="http://schemas.openxmlformats.org/officeDocument/2006/relationships/hyperlink" Id="rId47"/>
    <Relationship TargetMode="External" Target="https://www.legis.iowa.gov/docs/iac/rule/351.4.9.pdf" Type="http://schemas.openxmlformats.org/officeDocument/2006/relationships/hyperlink" Id="rId48"/>
    <Relationship TargetMode="External" Target="https://www.legis.iowa.gov/docs/iac/rule/351.4.9.pdf" Type="http://schemas.openxmlformats.org/officeDocument/2006/relationships/hyperlink" Id="rId49"/>
    <Relationship TargetMode="External" Target="https://www.legis.iowa.gov/docs/ico/chapter/68A.102.pdf" Type="http://schemas.openxmlformats.org/officeDocument/2006/relationships/hyperlink" Id="rId50"/>
    <Relationship TargetMode="External" Target="https://www.legis.iowa.gov/docs/ico/chapter/68A.102.pdf" Type="http://schemas.openxmlformats.org/officeDocument/2006/relationships/hyperlink" Id="rId51"/>
    <Relationship TargetMode="External" Target="https://www.legis.iowa.gov/docs/ico/chapter/68A.102.pdf" Type="http://schemas.openxmlformats.org/officeDocument/2006/relationships/hyperlink" Id="rId52"/>
    <Relationship TargetMode="External" Target="https://www.legis.iowa.gov/docs/ico/chapter/68A.404.pdf" Type="http://schemas.openxmlformats.org/officeDocument/2006/relationships/hyperlink" Id="rId53"/>
    <Relationship TargetMode="External" Target="https://www.legis.iowa.gov/docs/ico/chapter/68A.402.pdf" Type="http://schemas.openxmlformats.org/officeDocument/2006/relationships/hyperlink" Id="rId54"/>
    <Relationship TargetMode="External" Target="https://www.legis.iowa.gov/docs/ico/chapter/68A.401.pdf" Type="http://schemas.openxmlformats.org/officeDocument/2006/relationships/hyperlink" Id="rId55"/>
    <Relationship TargetMode="External" Target="https://www.legis.iowa.gov/docs/ico/chapter/68A.402.pdf" Type="http://schemas.openxmlformats.org/officeDocument/2006/relationships/hyperlink" Id="rId56"/>
    <Relationship TargetMode="External" Target="https://www.legis.iowa.gov/docs/ico/chapter/68A.405.pdf" Type="http://schemas.openxmlformats.org/officeDocument/2006/relationships/hyperlink" Id="rId57"/>
    <Relationship TargetMode="External" Target="https://www.legis.iowa.gov/docs/iac/rule/351.4.38.pdf" Type="http://schemas.openxmlformats.org/officeDocument/2006/relationships/hyperlink" Id="rId58"/>
    <Relationship TargetMode="External" Target="https://www.legis.iowa.gov/docs/ico/chapter/68A.201.pdf" Type="http://schemas.openxmlformats.org/officeDocument/2006/relationships/hyperlink" Id="rId59"/>
    <Relationship TargetMode="External" Target="https://www.legis.iowa.gov/docs/ico/chapter/68A.405.pdf" Type="http://schemas.openxmlformats.org/officeDocument/2006/relationships/hyperlink" Id="rId60"/>
    <Relationship TargetMode="External" Target="https://www.legis.iowa.gov/docs/ico/chapter/68A.402.pdf" Type="http://schemas.openxmlformats.org/officeDocument/2006/relationships/hyperlink" Id="rId61"/>
    <Relationship TargetMode="External" Target="https://www.legis.iowa.gov/docs/ico/chapter/68A.pdf" Type="http://schemas.openxmlformats.org/officeDocument/2006/relationships/hyperlink" Id="rId62"/>
    <Relationship TargetMode="External" Target="http://ethics.iowa.gov" Type="http://schemas.openxmlformats.org/officeDocument/2006/relationships/hyperlink" Id="rId63"/>
    <Relationship TargetMode="External" Target="https://www.legis.iowa.gov/docs/ico/chapter/68A.404.pdf" Type="http://schemas.openxmlformats.org/officeDocument/2006/relationships/hyperlink" Id="rId64"/>
    <Relationship TargetMode="External" Target="https://www.legis.iowa.gov/docs/ico/chapter/68A.402A.pdf" Type="http://schemas.openxmlformats.org/officeDocument/2006/relationships/hyperlink" Id="rId65"/>
    <Relationship TargetMode="External" Target="https://www.legis.iowa.gov/docs/ico/chapter/68A.404.pdf" Type="http://schemas.openxmlformats.org/officeDocument/2006/relationships/hyperlink" Id="rId66"/>
    <Relationship TargetMode="External" Target="https://www.legis.iowa.gov/docs/iac/rule/351.4.30.pdf" Type="http://schemas.openxmlformats.org/officeDocument/2006/relationships/hyperlink" Id="rId67"/>
    <Relationship TargetMode="External" Target="http://ethics.iowa.gov" Type="http://schemas.openxmlformats.org/officeDocument/2006/relationships/hyperlink" Id="rId68"/>
    <Relationship TargetMode="External" Target="https://www.legis.iowa.gov/docs/ico/chapter/68A.402.pdf" Type="http://schemas.openxmlformats.org/officeDocument/2006/relationships/hyperlink" Id="rId69"/>
    <Relationship TargetMode="External" Target="http://ethics.iowa.gov" Type="http://schemas.openxmlformats.org/officeDocument/2006/relationships/hyperlink" Id="rId70"/>
    <Relationship TargetMode="External" Target="https://www.legis.iowa.gov/docs/iac/rule/351.4.36.pdf" Type="http://schemas.openxmlformats.org/officeDocument/2006/relationships/hyperlink" Id="rId71"/>
    <Relationship TargetMode="External" Target="https://www.legis.iowa.gov/docs/iac/rule/351.4.18.pdf" Type="http://schemas.openxmlformats.org/officeDocument/2006/relationships/hyperlink" Id="rId72"/>
    <Relationship TargetMode="External" Target="https://www.legis.iowa.gov/docs/ico/chapter/68A.402.pdf" Type="http://schemas.openxmlformats.org/officeDocument/2006/relationships/hyperlink" Id="rId73"/>
    <Relationship TargetMode="External" Target="https://www.legis.iowa.gov/docs/iac/rule/351.4.14.pdf" Type="http://schemas.openxmlformats.org/officeDocument/2006/relationships/hyperlink" Id="rId74"/>
    <Relationship TargetMode="External" Target="https://www.legis.iowa.gov/docs/ico/chapter/68A.402.pdf" Type="http://schemas.openxmlformats.org/officeDocument/2006/relationships/hyperlink" Id="rId75"/>
    <Relationship TargetMode="External" Target="https://www.legis.iowa.gov/docs/iac/rule/351.4.14.pdf" Type="http://schemas.openxmlformats.org/officeDocument/2006/relationships/hyperlink" Id="rId76"/>
    <Relationship TargetMode="External" Target="https://www.legis.iowa.gov/docs/iac/rule/351.4.17.pdf" Type="http://schemas.openxmlformats.org/officeDocument/2006/relationships/hyperlink" Id="rId77"/>
    <Relationship TargetMode="External" Target="https://www.legis.iowa.gov/docs/ico/chapter/68A.402.pdf" Type="http://schemas.openxmlformats.org/officeDocument/2006/relationships/hyperlink" Id="rId78"/>
    <Relationship TargetMode="External" Target="https://www.legis.iowa.gov/docs/iac/rule/351.4.15.pdf" Type="http://schemas.openxmlformats.org/officeDocument/2006/relationships/hyperlink" Id="rId79"/>
    <Relationship TargetMode="External" Target="https://www.legis.iowa.gov/docs/iac/rule/351.4.14.pdf" Type="http://schemas.openxmlformats.org/officeDocument/2006/relationships/hyperlink" Id="rId80"/>
    <Relationship TargetMode="External" Target="https://www.legis.iowa.gov/docs/ico/chapter/68A.402.pdf" Type="http://schemas.openxmlformats.org/officeDocument/2006/relationships/hyperlink" Id="rId81"/>
    <Relationship TargetMode="External" Target="https://www.legis.iowa.gov/docs/iac/rule/351.4.15.pdf" Type="http://schemas.openxmlformats.org/officeDocument/2006/relationships/hyperlink" Id="rId82"/>
    <Relationship TargetMode="External" Target="https://www.legis.iowa.gov/docs/ico/chapter/68A.102.pdf" Type="http://schemas.openxmlformats.org/officeDocument/2006/relationships/hyperlink" Id="rId83"/>
    <Relationship TargetMode="External" Target="https://www.legis.iowa.gov/docs/ico/chapter/68A.402A.pdf" Type="http://schemas.openxmlformats.org/officeDocument/2006/relationships/hyperlink" Id="rId84"/>
    <Relationship TargetMode="External" Target="https://www.legis.iowa.gov/docs/ico/chapter/68A.304.pdf" Type="http://schemas.openxmlformats.org/officeDocument/2006/relationships/hyperlink" Id="rId85"/>
    <Relationship TargetMode="External" Target="https://www.legis.iowa.gov/docs/ico/chapter/68A.402.pdf" Type="http://schemas.openxmlformats.org/officeDocument/2006/relationships/hyperlink" Id="rId86"/>
    <Relationship TargetMode="External" Target="https://www.legis.iowa.gov/docs/iac/rule/351.4.55.pdf" Type="http://schemas.openxmlformats.org/officeDocument/2006/relationships/hyperlink" Id="rId87"/>
    <Relationship TargetMode="External" Target="https://www.legis.iowa.gov/docs/ico/chapter/68B.pdf" Type="http://schemas.openxmlformats.org/officeDocument/2006/relationships/hyperlink" Id="rId88"/>
    <Relationship TargetMode="External" Target="https://www.legis.iowa.gov/docs/iac/rule/351.9.4.pdf" Type="http://schemas.openxmlformats.org/officeDocument/2006/relationships/hyperlink" Id="rId89"/>
    <Relationship TargetMode="External" Target="https://www.legis.iowa.gov/docs/ico/chapter/68A.402A.pdf" Type="http://schemas.openxmlformats.org/officeDocument/2006/relationships/hyperlink" Id="rId90"/>
    <Relationship TargetMode="External" Target="https://www.legis.iowa.gov/docs/ico/chapter/68B.32A.pdf" Type="http://schemas.openxmlformats.org/officeDocument/2006/relationships/hyperlink" Id="rId91"/>
    <Relationship TargetMode="External" Target="https://www.legis.iowa.gov/docs/ico/chapter/68A.402.pdf" Type="http://schemas.openxmlformats.org/officeDocument/2006/relationships/hyperlink" Id="rId92"/>
    <Relationship TargetMode="External" Target="https://www.legis.iowa.gov/docs/ico/chapter/68A.402.pdf" Type="http://schemas.openxmlformats.org/officeDocument/2006/relationships/hyperlink" Id="rId93"/>
    <Relationship TargetMode="External" Target="https://www.legis.iowa.gov/docs/ico/chapter/68B.32A.pdf" Type="http://schemas.openxmlformats.org/officeDocument/2006/relationships/hyperlink" Id="rId94"/>
    <Relationship TargetMode="External" Target="https://www.legis.iowa.gov/docs/ico/chapter/68A.402.pdf" Type="http://schemas.openxmlformats.org/officeDocument/2006/relationships/hyperlink" Id="rId95"/>
    <Relationship TargetMode="External" Target="https://www.legis.iowa.gov/docs/ico/chapter/68A.402A.pdf" Type="http://schemas.openxmlformats.org/officeDocument/2006/relationships/hyperlink" Id="rId96"/>
    <Relationship TargetMode="External" Target="https://www.legis.iowa.gov/docs/ico/chapter/68A.503.pdf" Type="http://schemas.openxmlformats.org/officeDocument/2006/relationships/hyperlink" Id="rId97"/>
    <Relationship TargetMode="External" Target="https://www.legis.iowa.gov/docs/ico/chapter/68A.302.pdf" Type="http://schemas.openxmlformats.org/officeDocument/2006/relationships/hyperlink" Id="rId98"/>
    <Relationship TargetMode="External" Target="https://www.legis.iowa.gov/docs/ico/chapter/50.48.pdf" Type="http://schemas.openxmlformats.org/officeDocument/2006/relationships/hyperlink" Id="rId99"/>
    <Relationship TargetMode="External" Target="https://www.legis.iowa.gov/docs/ico/chapter/68A.505.pdf" Type="http://schemas.openxmlformats.org/officeDocument/2006/relationships/hyperlink" Id="rId100"/>
    <Relationship TargetMode="External" Target="https://www.legis.iowa.gov/docs/ico/chapter/68A.301.pdf" Type="http://schemas.openxmlformats.org/officeDocument/2006/relationships/hyperlink" Id="rId101"/>
    <Relationship TargetMode="External" Target="https://www.legis.iowa.gov/docs/ico/chapter/68A.302.pdf" Type="http://schemas.openxmlformats.org/officeDocument/2006/relationships/hyperlink" Id="rId102"/>
    <Relationship TargetMode="External" Target="https://www.legis.iowa.gov/docs/ico/chapter/68A.303.pdf" Type="http://schemas.openxmlformats.org/officeDocument/2006/relationships/hyperlink" Id="rId103"/>
    <Relationship TargetMode="External" Target="https://www.legis.iowa.gov/docs/ico/chapter/68A.303.pdf" Type="http://schemas.openxmlformats.org/officeDocument/2006/relationships/hyperlink" Id="rId104"/>
    <Relationship TargetMode="External" Target="https://www.legis.iowa.gov/docs/ico/chapter/68A.404.pdf" Type="http://schemas.openxmlformats.org/officeDocument/2006/relationships/hyperlink" Id="rId105"/>
    <Relationship TargetMode="External" Target="https://www.legis.iowa.gov/docs/ico/chapter/68A.404.pdf" Type="http://schemas.openxmlformats.org/officeDocument/2006/relationships/hyperlink" Id="rId106"/>
    <Relationship TargetMode="External" Target="https://www.legis.iowa.gov/docs/ico/chapter/68A.404.pdf" Type="http://schemas.openxmlformats.org/officeDocument/2006/relationships/hyperlink" Id="rId107"/>
    <Relationship TargetMode="External" Target="https://www.legis.iowa.gov/docs/ico/chapter/68A.404.pdf" Type="http://schemas.openxmlformats.org/officeDocument/2006/relationships/hyperlink" Id="rId108"/>
    <Relationship TargetMode="External" Target="http://ethics.iowa.gov" Type="http://schemas.openxmlformats.org/officeDocument/2006/relationships/hyperlink" Id="rId109"/>
    <Relationship TargetMode="External" Target="https://www.legis.iowa.gov/docs/iac/rule/351.4.59.pdf" Type="http://schemas.openxmlformats.org/officeDocument/2006/relationships/hyperlink" Id="rId110"/>
    <Relationship TargetMode="External" Target="https://www.legis.iowa.gov/docs/ico/chapter/68A.405.pdf" Type="http://schemas.openxmlformats.org/officeDocument/2006/relationships/hyperlink" Id="rId111"/>
    <Relationship TargetMode="External" Target="https://www.legis.iowa.gov/docs/iac/rule/351.4.38.pdf" Type="http://schemas.openxmlformats.org/officeDocument/2006/relationships/hyperlink" Id="rId112"/>
    <Relationship TargetMode="External" Target="https://www.legis.iowa.gov/docs/ico/chapter/68A.404.pdf" Type="http://schemas.openxmlformats.org/officeDocument/2006/relationships/hyperlink" Id="rId113"/>
    <Relationship TargetMode="External" Target="https://www.legis.iowa.gov/docs/ico/chapter/68A.pdf" Type="http://schemas.openxmlformats.org/officeDocument/2006/relationships/hyperlink" Id="rId114"/>
    <Relationship TargetMode="External" Target="https://www.legis.iowa.gov/docs/ico/chapter/68A.404.pdf" Type="http://schemas.openxmlformats.org/officeDocument/2006/relationships/hyperlink" Id="rId115"/>
    <Relationship TargetMode="External" Target="https://www.legis.iowa.gov/docs/ico/chapter/68A.404.pdf" Type="http://schemas.openxmlformats.org/officeDocument/2006/relationships/hyperlink" Id="rId116"/>
    <Relationship TargetMode="External" Target="https://www.legis.iowa.gov/docs/ico/chapter/68A.404.pdf" Type="http://schemas.openxmlformats.org/officeDocument/2006/relationships/hyperlink" Id="rId117"/>
    <Relationship TargetMode="External" Target="https://www.legis.iowa.gov/docs/ico/chapter/68A.501.pdf" Type="http://schemas.openxmlformats.org/officeDocument/2006/relationships/hyperlink" Id="rId118"/>
    <Relationship TargetMode="External" Target="https://www.legis.iowa.gov/docs/ico/chapter/68A.501.pdf" Type="http://schemas.openxmlformats.org/officeDocument/2006/relationships/hyperlink" Id="rId119"/>
    <Relationship TargetMode="External" Target="https://www.legis.iowa.gov/docs/ico/chapter/68A.501.pdf" Type="http://schemas.openxmlformats.org/officeDocument/2006/relationships/hyperlink" Id="rId120"/>
    <Relationship TargetMode="External" Target="https://www.legis.iowa.gov/docs/ico/chapter/68A.502.pdf" Type="http://schemas.openxmlformats.org/officeDocument/2006/relationships/hyperlink" Id="rId121"/>
    <Relationship TargetMode="External" Target="https://www.legis.iowa.gov/docs/iac/rule/351.4.31.pdf" Type="http://schemas.openxmlformats.org/officeDocument/2006/relationships/hyperlink" Id="rId122"/>
    <Relationship TargetMode="External" Target="https://www.legis.iowa.gov/docs/ico/chapter/68A.402.pdf" Type="http://schemas.openxmlformats.org/officeDocument/2006/relationships/hyperlink" Id="rId123"/>
    <Relationship TargetMode="External" Target="https://www.legis.iowa.gov/docs/ico/chapter/68A.502.pdf" Type="http://schemas.openxmlformats.org/officeDocument/2006/relationships/hyperlink" Id="rId124"/>
    <Relationship TargetMode="External" Target="https://www.legis.iowa.gov/docs/iac/rule/351.4.32.pdf" Type="http://schemas.openxmlformats.org/officeDocument/2006/relationships/hyperlink" Id="rId125"/>
    <Relationship TargetMode="External" Target="https://www.legis.iowa.gov/docs/iac/rule/351.4.32.pdf" Type="http://schemas.openxmlformats.org/officeDocument/2006/relationships/hyperlink" Id="rId126"/>
    <Relationship TargetMode="External" Target="https://www.legis.iowa.gov/docs/ico/chapter/68A.201.pdf" Type="http://schemas.openxmlformats.org/officeDocument/2006/relationships/hyperlink" Id="rId127"/>
    <Relationship TargetMode="External" Target="https://www.legis.iowa.gov/docs/ico/chapter/68A.402.pdf" Type="http://schemas.openxmlformats.org/officeDocument/2006/relationships/hyperlink" Id="rId128"/>
    <Relationship TargetMode="External" Target="https://www.legis.iowa.gov/docs/ico/chapter/68A.pdf" Type="http://schemas.openxmlformats.org/officeDocument/2006/relationships/hyperlink" Id="rId129"/>
    <Relationship TargetMode="External" Target="https://www.legis.iowa.gov/docs/ico/chapter/68A.pdf" Type="http://schemas.openxmlformats.org/officeDocument/2006/relationships/hyperlink" Id="rId130"/>
    <Relationship TargetMode="External" Target="https://www.legis.iowa.gov/docs/ico/chapter/68A.503.pdf" Type="http://schemas.openxmlformats.org/officeDocument/2006/relationships/hyperlink" Id="rId131"/>
    <Relationship TargetMode="External" Target="http://ethics.iowa.gov" Type="http://schemas.openxmlformats.org/officeDocument/2006/relationships/hyperlink" Id="rId132"/>
    <Relationship TargetMode="External" Target="https://www.legis.iowa.gov/docs/ico/chapter/68A.pdf" Type="http://schemas.openxmlformats.org/officeDocument/2006/relationships/hyperlink" Id="rId133"/>
    <Relationship TargetMode="External" Target="https://www.legis.iowa.gov/docs/ico/chapter/68A.pdf" Type="http://schemas.openxmlformats.org/officeDocument/2006/relationships/hyperlink" Id="rId134"/>
    <Relationship TargetMode="External" Target="https://www.legis.iowa.gov/docs/iac/rule/351.4.32.pdf" Type="http://schemas.openxmlformats.org/officeDocument/2006/relationships/hyperlink" Id="rId135"/>
    <Relationship TargetMode="External" Target="https://www.legis.iowa.gov/docs/ico/chapter/68A.201A.pdf" Type="http://schemas.openxmlformats.org/officeDocument/2006/relationships/hyperlink" Id="rId136"/>
    <Relationship TargetMode="External" Target="https://www.legis.iowa.gov/docs/ico/chapter/68A.402.pdf" Type="http://schemas.openxmlformats.org/officeDocument/2006/relationships/hyperlink" Id="rId137"/>
    <Relationship TargetMode="External" Target="https://www.legis.iowa.gov/docs/ico/chapter/68A.401A.pdf" Type="http://schemas.openxmlformats.org/officeDocument/2006/relationships/hyperlink" Id="rId138"/>
    <Relationship TargetMode="External" Target="https://www.legis.iowa.gov/docs/ico/chapter/68A.401A.pdf" Type="http://schemas.openxmlformats.org/officeDocument/2006/relationships/hyperlink" Id="rId139"/>
    <Relationship TargetMode="External" Target="https://www.legis.iowa.gov/docs/ico/chapter/68A.401A.pdf" Type="http://schemas.openxmlformats.org/officeDocument/2006/relationships/hyperlink" Id="rId140"/>
    <Relationship TargetMode="External" Target="https://www.legis.iowa.gov/docs/ico/chapter/68A.402.pdf" Type="http://schemas.openxmlformats.org/officeDocument/2006/relationships/hyperlink" Id="rId141"/>
    <Relationship TargetMode="External" Target="https://www.legis.iowa.gov/docs/iac/rule/351.4.1.pdf" Type="http://schemas.openxmlformats.org/officeDocument/2006/relationships/hyperlink" Id="rId142"/>
    <Relationship TargetMode="External" Target="https://www.legis.iowa.gov/docs/ico/chapter/68A.pdf" Type="http://schemas.openxmlformats.org/officeDocument/2006/relationships/hyperlink" Id="rId143"/>
    <Relationship TargetMode="External" Target="http://ethics.iowa.gov" Type="http://schemas.openxmlformats.org/officeDocument/2006/relationships/hyperlink" Id="rId144"/>
    <Relationship TargetMode="External" Target="https://www.legis.iowa.gov/docs/ico/chapter/68A.pdf" Type="http://schemas.openxmlformats.org/officeDocument/2006/relationships/hyperlink" Id="rId145"/>
    <Relationship TargetMode="External" Target="https://www.legis.iowa.gov/docs/ico/chapter/68A.pdf" Type="http://schemas.openxmlformats.org/officeDocument/2006/relationships/hyperlink" Id="rId146"/>
    <Relationship TargetMode="External" Target="https://www.legis.iowa.gov/docs/ico/chapter/68A.102.pdf" Type="http://schemas.openxmlformats.org/officeDocument/2006/relationships/hyperlink" Id="rId147"/>
    <Relationship TargetMode="External" Target="https://www.legis.iowa.gov/docs/ico/chapter/68A.402.pdf" Type="http://schemas.openxmlformats.org/officeDocument/2006/relationships/hyperlink" Id="rId148"/>
    <Relationship TargetMode="External" Target="https://www.legis.iowa.gov/docs/ico/chapter/68A.203.pdf" Type="http://schemas.openxmlformats.org/officeDocument/2006/relationships/hyperlink" Id="rId149"/>
    <Relationship TargetMode="External" Target="https://www.legis.iowa.gov/docs/ico/chapter/68A.402A.pdf" Type="http://schemas.openxmlformats.org/officeDocument/2006/relationships/hyperlink" Id="rId150"/>
    <Relationship TargetMode="External" Target="https://www.legis.iowa.gov/docs/ico/chapter/68A.203.pdf" Type="http://schemas.openxmlformats.org/officeDocument/2006/relationships/hyperlink" Id="rId151"/>
    <Relationship TargetMode="External" Target="https://www.legis.iowa.gov/docs/ico/chapter/68A.302.pdf" Type="http://schemas.openxmlformats.org/officeDocument/2006/relationships/hyperlink" Id="rId152"/>
    <Relationship TargetMode="External" Target="https://www.legis.iowa.gov/docs/ico/chapter/68A.402.pdf" Type="http://schemas.openxmlformats.org/officeDocument/2006/relationships/hyperlink" Id="rId153"/>
    <Relationship TargetMode="External" Target="https://www.legis.iowa.gov/docs/ico/chapter/68A.403.pdf" Type="http://schemas.openxmlformats.org/officeDocument/2006/relationships/hyperlink" Id="rId154"/>
    <Relationship TargetMode="External" Target="https://www.legis.iowa.gov/docs/ico/chapter/68B.32A.pdf" Type="http://schemas.openxmlformats.org/officeDocument/2006/relationships/hyperlink" Id="rId155"/>
    <Relationship TargetMode="External" Target="https://www.legis.iowa.gov/docs/ico/chapter/68A.405.pdf" Type="http://schemas.openxmlformats.org/officeDocument/2006/relationships/hyperlink" Id="rId156"/>
    <Relationship TargetMode="External" Target="https://www.legis.iowa.gov/docs/ico/chapter/68A.405.pdf" Type="http://schemas.openxmlformats.org/officeDocument/2006/relationships/hyperlink" Id="rId157"/>
    <Relationship TargetMode="External" Target="https://www.legis.iowa.gov/docs/iac/rule/351.4.38.pdf" Type="http://schemas.openxmlformats.org/officeDocument/2006/relationships/hyperlink" Id="rId158"/>
    <Relationship TargetMode="External" Target="https://www.legis.iowa.gov/docs/iac/rule/351.4.39.pdf" Type="http://schemas.openxmlformats.org/officeDocument/2006/relationships/hyperlink" Id="rId159"/>
    <Relationship TargetMode="External" Target="https://www.legis.iowa.gov/docs/iac/rule/351.4.39.pdf" Type="http://schemas.openxmlformats.org/officeDocument/2006/relationships/hyperlink" Id="rId160"/>
    <Relationship TargetMode="External" Target="https://www.legis.iowa.gov/docs/ico/chapter/68A.405.pdf" Type="http://schemas.openxmlformats.org/officeDocument/2006/relationships/hyperlink" Id="rId161"/>
    <Relationship TargetMode="External" Target="https://www.legis.iowa.gov/docs/ico/chapter/68A.405.pdf" Type="http://schemas.openxmlformats.org/officeDocument/2006/relationships/hyperlink" Id="rId162"/>
    <Relationship TargetMode="External" Target="https://www.legis.iowa.gov/docs/ico/chapter/68A.405.pdf" Type="http://schemas.openxmlformats.org/officeDocument/2006/relationships/hyperlink" Id="rId163"/>
    <Relationship TargetMode="External" Target="https://www.legis.iowa.gov/docs/ico/chapter/68A.405.pdf" Type="http://schemas.openxmlformats.org/officeDocument/2006/relationships/hyperlink" Id="rId164"/>
    <Relationship TargetMode="External" Target="https://www.legis.iowa.gov/docs/ico/chapter/68B.32A.pdf" Type="http://schemas.openxmlformats.org/officeDocument/2006/relationships/hyperlink" Id="rId165"/>
    <Relationship TargetMode="External" Target="https://www.legis.iowa.gov/docs/ico/chapter/68A.503.pdf" Type="http://schemas.openxmlformats.org/officeDocument/2006/relationships/hyperlink" Id="rId166"/>
    <Relationship TargetMode="External" Target="https://www.legis.iowa.gov/docs/ico/chapter/68A.406.pdf" Type="http://schemas.openxmlformats.org/officeDocument/2006/relationships/hyperlink" Id="rId167"/>
    <Relationship TargetMode="External" Target="https://www.legis.iowa.gov/docs/ico/chapter/68A.503.pdf" Type="http://schemas.openxmlformats.org/officeDocument/2006/relationships/hyperlink" Id="rId168"/>
    <Relationship TargetMode="External" Target="https://www.legis.iowa.gov/docs/ico/chapter/68A.503.pdf" Type="http://schemas.openxmlformats.org/officeDocument/2006/relationships/hyperlink" Id="rId169"/>
    <Relationship TargetMode="External" Target="https://www.legis.iowa.gov/docs/ico/chapter/68A.503.pdf" Type="http://schemas.openxmlformats.org/officeDocument/2006/relationships/hyperlink" Id="rId170"/>
    <Relationship TargetMode="External" Target="https://www.legis.iowa.gov/docs/ico/chapter/68A.503.pdf" Type="http://schemas.openxmlformats.org/officeDocument/2006/relationships/hyperlink" Id="rId171"/>
    <Relationship TargetMode="External" Target="https://www.legis.iowa.gov/docs/ico/chapter/68A.503.pdf" Type="http://schemas.openxmlformats.org/officeDocument/2006/relationships/hyperlink" Id="rId172"/>
    <Relationship TargetMode="External" Target="https://www.legis.iowa.gov/docs/ico/chapter/68A.503.pdf" Type="http://schemas.openxmlformats.org/officeDocument/2006/relationships/hyperlink" Id="rId173"/>
    <Relationship TargetMode="External" Target="https://www.legis.iowa.gov/docs/iac/rule/351.4.44.pdf" Type="http://schemas.openxmlformats.org/officeDocument/2006/relationships/hyperlink" Id="rId174"/>
    <Relationship TargetMode="External" Target="https://www.legis.iowa.gov/docs/iac/rule/351.4.18.pdf" Type="http://schemas.openxmlformats.org/officeDocument/2006/relationships/hyperlink" Id="rId175"/>
    <Relationship TargetMode="External" Target="https://www.legis.iowa.gov/docs/iac/rule/351.4.16.pdf" Type="http://schemas.openxmlformats.org/officeDocument/2006/relationships/hyperlink" Id="rId176"/>
    <Relationship TargetMode="External" Target="https://www.legis.iowa.gov/docs/iac/rule/351.4.57.pdf" Type="http://schemas.openxmlformats.org/officeDocument/2006/relationships/hyperlink" Id="rId177"/>
    <Relationship TargetMode="External" Target="https://www.legis.iowa.gov/docs/ico/chapter/68A.503.pdf" Type="http://schemas.openxmlformats.org/officeDocument/2006/relationships/hyperlink" Id="rId178"/>
    <Relationship TargetMode="External" Target="https://www.legis.iowa.gov/docs/ico/chapter/68A.pdf" Type="http://schemas.openxmlformats.org/officeDocument/2006/relationships/hyperlink" Id="rId179"/>
    <Relationship TargetMode="External" Target="https://www.legis.iowa.gov/docs/ico/chapter/68A.102.pdf" Type="http://schemas.openxmlformats.org/officeDocument/2006/relationships/hyperlink" Id="rId180"/>
    <Relationship TargetMode="External" Target="https://www.legis.iowa.gov/docs/iac/rule/351.4.53.pdf" Type="http://schemas.openxmlformats.org/officeDocument/2006/relationships/hyperlink" Id="rId181"/>
    <Relationship TargetMode="External" Target="https://www.legis.iowa.gov/docs/iac/rule/351.4.51.pdf" Type="http://schemas.openxmlformats.org/officeDocument/2006/relationships/hyperlink" Id="rId182"/>
    <Relationship TargetMode="External" Target="https://www.legis.iowa.gov/docs/ico/chapter/68A.503.pdf" Type="http://schemas.openxmlformats.org/officeDocument/2006/relationships/hyperlink" Id="rId183"/>
    <Relationship TargetMode="External" Target="https://www.legis.iowa.gov/docs/ico/chapter/68A.503.pdf" Type="http://schemas.openxmlformats.org/officeDocument/2006/relationships/hyperlink" Id="rId184"/>
    <Relationship TargetMode="External" Target="https://www.legis.iowa.gov/docs/ico/chapter/68A.503.pdf" Type="http://schemas.openxmlformats.org/officeDocument/2006/relationships/hyperlink" Id="rId185"/>
    <Relationship TargetMode="External" Target="https://www.legis.iowa.gov/docs/ico/chapter/68A.503.pdf" Type="http://schemas.openxmlformats.org/officeDocument/2006/relationships/hyperlink" Id="rId186"/>
    <Relationship TargetMode="External" Target="https://www.legis.iowa.gov/docs/ico/chapter/68A.402.pdf" Type="http://schemas.openxmlformats.org/officeDocument/2006/relationships/hyperlink" Id="rId187"/>
    <Relationship TargetMode="External" Target="https://www.legis.iowa.gov/docs/ico/chapter/68A.402.pdf" Type="http://schemas.openxmlformats.org/officeDocument/2006/relationships/hyperlink" Id="rId188"/>
    <Relationship TargetMode="External" Target="https://www.legis.iowa.gov/docs/ico/chapter/68A.503.pdf" Type="http://schemas.openxmlformats.org/officeDocument/2006/relationships/hyperlink" Id="rId189"/>
    <Relationship TargetMode="External" Target="https://www.legis.iowa.gov/docs/ico/chapter/68A.503.pdf" Type="http://schemas.openxmlformats.org/officeDocument/2006/relationships/hyperlink" Id="rId190"/>
    <Relationship TargetMode="External" Target="https://www.legis.iowa.gov/docs/ico/chapter/68A.pdf" Type="http://schemas.openxmlformats.org/officeDocument/2006/relationships/hyperlink" Id="rId191"/>
    <Relationship TargetMode="External" Target="https://www.legis.iowa.gov/docs/ico/chapter/68A.503.pdf" Type="http://schemas.openxmlformats.org/officeDocument/2006/relationships/hyperlink" Id="rId192"/>
    <Relationship TargetMode="External" Target="https://www.legis.iowa.gov/docs/ico/chapter/68A.503.pdf" Type="http://schemas.openxmlformats.org/officeDocument/2006/relationships/hyperlink" Id="rId193"/>
    <Relationship TargetMode="External" Target="https://www.legis.iowa.gov/docs/ico/chapter/68A.pdf" Type="http://schemas.openxmlformats.org/officeDocument/2006/relationships/hyperlink" Id="rId194"/>
    <Relationship TargetMode="External" Target="https://www.legis.iowa.gov/docs/ico/chapter/68A.102.pdf" Type="http://schemas.openxmlformats.org/officeDocument/2006/relationships/hyperlink" Id="rId195"/>
    <Relationship TargetMode="External" Target="https://www.legis.iowa.gov/docs/iac/rule/351.4.53.pdf" Type="http://schemas.openxmlformats.org/officeDocument/2006/relationships/hyperlink" Id="rId196"/>
    <Relationship TargetMode="External" Target="https://www.legis.iowa.gov/docs/ico/chapter/68A.404.pdf" Type="http://schemas.openxmlformats.org/officeDocument/2006/relationships/hyperlink" Id="rId197"/>
    <Relationship TargetMode="External" Target="https://www.legis.iowa.gov/docs/ico/chapter/68A.404.pdf" Type="http://schemas.openxmlformats.org/officeDocument/2006/relationships/hyperlink" Id="rId198"/>
    <Relationship TargetMode="External" Target="https://www.legis.iowa.gov/docs/ico/chapter/68A.404.pdf" Type="http://schemas.openxmlformats.org/officeDocument/2006/relationships/hyperlink" Id="rId199"/>
    <Relationship TargetMode="External" Target="https://www.legis.iowa.gov/docs/ico/chapter/68A.302.pdf" Type="http://schemas.openxmlformats.org/officeDocument/2006/relationships/hyperlink" Id="rId200"/>
    <Relationship TargetMode="External" Target="https://www.legis.iowa.gov/docs/ico/chapter/68A.303.pdf" Type="http://schemas.openxmlformats.org/officeDocument/2006/relationships/hyperlink" Id="rId201"/>
    <Relationship TargetMode="External" Target="https://www.legis.iowa.gov/docs/iac/rule/351.4.25.pdf" Type="http://schemas.openxmlformats.org/officeDocument/2006/relationships/hyperlink" Id="rId202"/>
    <Relationship TargetMode="External" Target="https://www.legis.iowa.gov/docs/ico/chapter/68A.303.pdf" Type="http://schemas.openxmlformats.org/officeDocument/2006/relationships/hyperlink" Id="rId203"/>
    <Relationship TargetMode="External" Target="https://www.legis.iowa.gov/docs/ico/chapter/68A.402B.pdf" Type="http://schemas.openxmlformats.org/officeDocument/2006/relationships/hyperlink" Id="rId204"/>
    <Relationship TargetMode="External" Target="http://ethics.iowa.gov" Type="http://schemas.openxmlformats.org/officeDocument/2006/relationships/hyperlink" Id="rId205"/>
    <Relationship TargetMode="External" Target="https://www.legis.iowa.gov/docs/ico/chapter/68A.pdf" Type="http://schemas.openxmlformats.org/officeDocument/2006/relationships/hyperlink" Id="rId206"/>
    <Relationship TargetMode="External" Target="https://www.legis.iowa.gov/docs/ico/chapter/68A.pdf" Type="http://schemas.openxmlformats.org/officeDocument/2006/relationships/hyperlink" Id="rId207"/>
    <Relationship TargetMode="External" Target="https://www.legis.iowa.gov/docs/iac/chapter/351.15.pdf" Type="http://schemas.openxmlformats.org/officeDocument/2006/relationships/hyperlink" Id="rId208"/>
    <Relationship TargetMode="External" Target="https://www.legis.iowa.gov/docs/ico/chapter/68A.402B.pdf" Type="http://schemas.openxmlformats.org/officeDocument/2006/relationships/hyperlink" Id="rId209"/>
    <Relationship TargetMode="External" Target="https://www.legis.iowa.gov/docs/ico/chapter/68B.32A.pdf" Type="http://schemas.openxmlformats.org/officeDocument/2006/relationships/hyperlink" Id="rId210"/>
    <Relationship TargetMode="External" Target="https://www.legis.iowa.gov/docs/iac/rule/351.4.60.pdf" Type="http://schemas.openxmlformats.org/officeDocument/2006/relationships/hyperlink" Id="rId211"/>
    <Relationship TargetMode="External" Target="https://www.legis.iowa.gov/docs/ico/chapter/68A.201.pdf" Type="http://schemas.openxmlformats.org/officeDocument/2006/relationships/hyperlink" Id="rId212"/>
    <Relationship TargetMode="External" Target="https://www.legis.iowa.gov/docs/iac/rule/351.4.32.pdf" Type="http://schemas.openxmlformats.org/officeDocument/2006/relationships/hyperlink" Id="rId213"/>
    <Relationship TargetMode="External" Target="https://www.legis.iowa.gov/docs/ico/chapter/68B.pdf" Type="http://schemas.openxmlformats.org/officeDocument/2006/relationships/hyperlink" Id="rId214"/>
    <Relationship TargetMode="External" Target="https://www.legis.iowa.gov/docs/iac/rule/351.9.4.pdf" Type="http://schemas.openxmlformats.org/officeDocument/2006/relationships/hyperlink" Id="rId215"/>
    <Relationship TargetMode="External" Target="https://www.legis.iowa.gov/docs/ico/chapter/68B.32A.pdf" Type="http://schemas.openxmlformats.org/officeDocument/2006/relationships/hyperlink" Id="rId216"/>
    <Relationship TargetMode="External" Target="https://www.legis.iowa.gov/docs/iac/rule/351.4.61.pdf" Type="http://schemas.openxmlformats.org/officeDocument/2006/relationships/hyperlink" Id="rId217"/>
    <Relationship TargetMode="External" Target="https://www.legis.iowa.gov/docs/ico/chapter/68B.32A.pdf" Type="http://schemas.openxmlformats.org/officeDocument/2006/relationships/hyperlink" Id="rId218"/>
    <Relationship TargetMode="External" Target="https://www.legis.iowa.gov/docs/ico/chapter/68B.32C.pdf" Type="http://schemas.openxmlformats.org/officeDocument/2006/relationships/hyperlink" Id="rId219"/>
    <Relationship TargetMode="External" Target="https://www.legis.iowa.gov/docs/ico/chapter/17A.pdf" Type="http://schemas.openxmlformats.org/officeDocument/2006/relationships/hyperlink" Id="rId220"/>
    <Relationship TargetMode="External" Target="https://www.legis.iowa.gov/docs/ico/chapter/68B.33.pdf" Type="http://schemas.openxmlformats.org/officeDocument/2006/relationships/hyperlink" Id="rId221"/>
    <Relationship TargetMode="External" Target="https://www.legis.iowa.gov/docs/ico/chapter/68B.32A.pdf" Type="http://schemas.openxmlformats.org/officeDocument/2006/relationships/hyperlink" Id="rId222"/>
    <Relationship TargetMode="External" Target="https://www.legis.iowa.gov/docs/ico/chapter/68B.32A.pdf" Type="http://schemas.openxmlformats.org/officeDocument/2006/relationships/hyperlink" Id="rId2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