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3/30/94, Campaign Finance Disclosure Commission[121] Ch 10]</w:t>
      </w:r>
    </w:p>
    <w:p>
      <w:pPr>
        <w:spacing w:before="0" w:after="0"/>
        <w:ind w:left="120"/>
        <w:jc w:val="center"/>
      </w:pPr>
      <w:r>
        <w:rPr>
          <w:rFonts w:ascii="Times New Roman" w:hAnsi="Times New Roman"/>
          <w:b w:val="false"/>
          <w:i w:val="false"/>
          <w:color w:val="000000"/>
          <w:sz w:val="14"/>
        </w:rPr>
        <w:t>[Prior to 8/20/03, see 351—Ch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351—2.1</w:t>
      </w:r>
      <w:r>
        <w:rPr>
          <w:rFonts w:ascii="Times New Roman" w:hAnsi="Times New Roman"/>
          <w:b/>
          <w:i w:val="false"/>
          <w:color w:val="000000"/>
          <w:sz w:val="22"/>
        </w:rPr>
        <w:t xml:space="preserve">(22,68A,68B)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that is not available as a matter of right for examination and copying by members of the public under applicable provisions of law. Confidential records may include information discovered as the result of an investigation until such time as the final action of the board is ordered. Confidential records also include matters in litigation by the board and information conveyed as a result of the attorney/client relationship. Confidential records also include records or information contained in records that the board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by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executive director of the Iowa ethics and campaign disclosure board, who is the person lawfully delegated authority by the policy-setting board to act for the agency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that identifies the individual and that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is in the physical possession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board from which a record may be retrieved by a personal identifier such as the name of an individual, number, symbol, or other unique retriever assigned to an individual.</w:t>
      </w:r>
    </w:p>
    <w:p>
      <w:pPr>
        <w:spacing w:before="210" w:after="0"/>
        <w:ind w:left="120"/>
        <w:jc w:val="both"/>
      </w:pPr>
      <w:r>
        <w:rPr>
          <w:rFonts w:ascii="Times New Roman" w:hAnsi="Times New Roman"/>
          <w:b/>
          <w:i w:val="false"/>
          <w:color w:val="000000"/>
          <w:sz w:val="22"/>
        </w:rPr>
        <w:t>351—2.2</w:t>
      </w:r>
      <w:r>
        <w:rPr>
          <w:rFonts w:ascii="Times New Roman" w:hAnsi="Times New Roman"/>
          <w:b/>
          <w:i w:val="false"/>
          <w:color w:val="000000"/>
          <w:sz w:val="22"/>
        </w:rPr>
        <w:t xml:space="preserve">(22,68A,68B)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It also seeks to facilitate sound board determinations with respect to the handling of confidential records and the implementation of the fair information practices Act. The board is committed to the policies set forth in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and board staff shall cooperate with members of the public in implementing the provisions of that chapter.</w:t>
      </w:r>
    </w:p>
    <w:p>
      <w:pPr>
        <w:spacing w:before="0" w:after="0"/>
        <w:ind w:left="120"/>
        <w:jc w:val="both"/>
      </w:pPr>
      <w:r>
        <w:rPr>
          <w:rFonts w:ascii="Times New Roman" w:hAnsi="Times New Roman"/>
          <w:b/>
          <w:i w:val="false"/>
          <w:color w:val="000000"/>
          <w:sz w:val="22"/>
        </w:rPr>
        <w:t>351—2.3</w:t>
      </w:r>
      <w:r>
        <w:rPr>
          <w:rFonts w:ascii="Times New Roman" w:hAnsi="Times New Roman"/>
          <w:b/>
          <w:i w:val="false"/>
          <w:color w:val="000000"/>
          <w:sz w:val="22"/>
        </w:rPr>
        <w:t xml:space="preserve">(22,68A,68B)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shall be directed to the Iowa Ethics and Campaign Disclosure Board, 510 East 12th Street, Suite 1A, Des Moines, Iowa 50319. If the requested record is not on file in the board office, the custodian will arrange for it to be retrieved from state archives and made available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Records shall be made available from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daily, excluding Saturdays, Sundays, and legal holidays. Records made available via the board’s Web site at </w:t>
      </w:r>
      <w:hyperlink r:id="rId9">
        <w:r>
          <w:rPr>
            <w:rStyle w:val="Hyperlink"/>
            <w:rFonts w:ascii="Times New Roman" w:hAnsi="Times New Roman"/>
            <w:b w:val="false"/>
            <w:i w:val="false"/>
            <w:color w:val="000000"/>
            <w:sz w:val="22"/>
            <w:u w:val="single"/>
          </w:rPr>
          <w:t>www.iowa.gov/ethics</w:t>
        </w:r>
      </w:hyperlink>
      <w:r>
        <w:rPr>
          <w:rFonts w:ascii="Times New Roman" w:hAnsi="Times New Roman"/>
          <w:b w:val="false"/>
          <w:i w:val="false"/>
          <w:color w:val="000000"/>
          <w:sz w:val="22"/>
        </w:rPr>
        <w:t xml:space="preserve"> are available at all hours and on all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records may be made in writing, in person, or by telephone. Requests shall identify the particular records sought by name or description in order to facilitate the location of the record. Mail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color w:val="000000"/>
          <w:sz w:val="22"/>
        </w:rPr>
        <w:t xml:space="preserve">Granting access to records. </w:t>
      </w:r>
      <w:r>
        <w:rPr>
          <w:rFonts w:ascii="Times New Roman" w:hAnsi="Times New Roman"/>
          <w:b w:val="false"/>
          <w:i w:val="false"/>
          <w:color w:val="000000"/>
          <w:sz w:val="22"/>
        </w:rPr>
        <w:t xml:space="preserve">The custodian is authorized to grant or deny access to the record according to the provisions of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this chapter. The decision to grant or deny access may be delegated to one or more designated employees. Access to an open record shall be granted immediately upon request. If the size or nature of the request requires time for compliance, the board shall comply with the request as soon as possible. However, access to such a record may be delayed for one of the purposes authorized by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board shall promptly inform the requester of the reason for the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shall, without permission, search or remove any record from board files. Examination and copying of records shall be done under the supervision of board staff.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may be made in the board office unless printed copies are available. If copying equipment is not available in the office where a record is kept, the board shall permit its examination in that office and shall arrange to have copies promptly made elsewhere. Records made available on the board’s Web site may be copied without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Copying costs. </w:t>
      </w:r>
      <w:r>
        <w:rPr>
          <w:rFonts w:ascii="Times New Roman" w:hAnsi="Times New Roman"/>
          <w:b w:val="false"/>
          <w:i w:val="false"/>
          <w:color w:val="000000"/>
          <w:sz w:val="22"/>
        </w:rPr>
        <w:t>Price schedules for regularly published records and for copies of records not regularly published shall be posted by the board. Copies may be made by or for members of the public at cost as determined and posted by the custodian of the record. The cost of postage and of other services provided in connection with the request may be charged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Search and supervisory fee. </w:t>
      </w:r>
      <w:r>
        <w:rPr>
          <w:rFonts w:ascii="Times New Roman" w:hAnsi="Times New Roman"/>
          <w:b w:val="false"/>
          <w:i w:val="false"/>
          <w:color w:val="000000"/>
          <w:sz w:val="22"/>
        </w:rPr>
        <w:t>An hourly fee may be charged for actual board expenses in searching for, and supervising the examination and copying of, requested records. The fee shall be based upon the pay scale of the employee involved and other actual costs incurred. No fee shall be charged if the records are not made available for inspection, or if the time required does not exceed one-half hour in duration, or if the time required for the search was the result of a board error or a record-keeping problem. The board shall post the hourly fees to be charged in routine cases for search and supervision of records. The board shall give advance notice to the requester if it will be necessary to use an employee with a higher hourly wage in order to find or supervise the particular records in question, and shall indicate the amount of that higher hourly wage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may require a requester to make an advance deposit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charged under this subrule, the board may require advance payment of the full amount of any estimated fee before the board processes a new or pending request for access to records from that requester, as well as payment in full of the amount previously owed.</w:t>
      </w:r>
    </w:p>
    <w:p>
      <w:pPr>
        <w:spacing w:before="0" w:after="0"/>
        <w:ind w:left="120"/>
        <w:jc w:val="both"/>
      </w:pPr>
      <w:r>
        <w:rPr>
          <w:rFonts w:ascii="Times New Roman" w:hAnsi="Times New Roman"/>
          <w:b/>
          <w:i w:val="false"/>
          <w:color w:val="000000"/>
          <w:sz w:val="22"/>
        </w:rPr>
        <w:t>351—2.4</w:t>
      </w:r>
      <w:r>
        <w:rPr>
          <w:rFonts w:ascii="Times New Roman" w:hAnsi="Times New Roman"/>
          <w:b/>
          <w:i w:val="false"/>
          <w:color w:val="000000"/>
          <w:sz w:val="22"/>
        </w:rPr>
        <w:t xml:space="preserve">(22,68A,68B) </w:t>
      </w:r>
      <w:r>
        <w:rPr>
          <w:rFonts w:ascii="Times New Roman" w:hAnsi="Times New Roman"/>
          <w:b/>
          <w:i w:val="false"/>
          <w:color w:val="000000"/>
          <w:sz w:val="22"/>
        </w:rPr>
        <w:t xml:space="preserve">Procedures for access to confidential records. </w:t>
      </w:r>
      <w:r>
        <w:rPr>
          <w:rFonts w:ascii="Times New Roman" w:hAnsi="Times New Roman"/>
          <w:b w:val="false"/>
          <w:i w:val="false"/>
          <w:color w:val="000000"/>
          <w:sz w:val="22"/>
        </w:rPr>
        <w:t xml:space="preserve">The following procedures for access to confidential records are in addition to those specified for all records in rule </w:t>
      </w:r>
      <w:hyperlink r:id="rId12">
        <w:r>
          <w:rPr>
            <w:rStyle w:val="Hyperlink"/>
            <w:rFonts w:ascii="Times New Roman" w:hAnsi="Times New Roman"/>
            <w:b w:val="false"/>
            <w:i w:val="false"/>
            <w:color w:val="000000"/>
            <w:sz w:val="22"/>
          </w:rPr>
          <w:t>351—2.3</w:t>
        </w:r>
      </w:hyperlink>
      <w:r>
        <w:rPr>
          <w:rFonts w:ascii="Times New Roman" w:hAnsi="Times New Roman"/>
          <w:b w:val="false"/>
          <w:i w:val="false"/>
          <w:color w:val="000000"/>
          <w:sz w:val="22"/>
        </w:rPr>
        <w:t>(22,68A,68B).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shall be required to provide proof of identity.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A request to review a confidential record shall be in writing. A person requesting access to a confidential record may be required to sign a certified statement or affidavit enumerating the specific grounds justifying access to the confidential record and to provide any proof necessary to establish relevant facts. Such request may be referred to the full board for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of a confidential record or the board denies a request for access to a confidential record, in whole or in part, the requester shall be notified in writing. The denial shall be signed by the custodian of the confidential record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person or persons responsible for the denial and a brief citation to the statute or other provision of law that prohibits disclosure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brief citation to the statute vesting discretion in the custodian to deny disclosure of the record;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grounds for the denial to this requester.</w:t>
      </w:r>
    </w:p>
    <w:p>
      <w:pPr>
        <w:spacing w:before="0" w:after="0"/>
        <w:ind w:left="120"/>
        <w:jc w:val="both"/>
      </w:pPr>
      <w:r>
        <w:rPr>
          <w:rFonts w:ascii="Times New Roman" w:hAnsi="Times New Roman"/>
          <w:b/>
          <w:i w:val="false"/>
          <w:color w:val="000000"/>
          <w:sz w:val="22"/>
        </w:rPr>
        <w:t>351—2.5</w:t>
      </w:r>
      <w:r>
        <w:rPr>
          <w:rFonts w:ascii="Times New Roman" w:hAnsi="Times New Roman"/>
          <w:b/>
          <w:i w:val="false"/>
          <w:color w:val="000000"/>
          <w:sz w:val="22"/>
        </w:rPr>
        <w:t xml:space="preserve">(22,68A,68B) </w:t>
      </w:r>
      <w:r>
        <w:rPr>
          <w:rFonts w:ascii="Times New Roman" w:hAnsi="Times New Roman"/>
          <w:b/>
          <w:i w:val="false"/>
          <w:color w:val="000000"/>
          <w:sz w:val="22"/>
        </w:rPr>
        <w:t xml:space="preserve">Request for treatment of a record as a confidential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Who may file request. </w:t>
      </w:r>
      <w:r>
        <w:rPr>
          <w:rFonts w:ascii="Times New Roman" w:hAnsi="Times New Roman"/>
          <w:b w:val="false"/>
          <w:i w:val="false"/>
          <w:color w:val="000000"/>
          <w:sz w:val="22"/>
        </w:rPr>
        <w:t xml:space="preserve">Any person who would be aggrieved or adversely affected by disclosure of all or a part of a record to members of the public may file a request, as provided in this rule, for its treatment as a confidential record. Failure of a person to request confidential record treatment for all or part of a record, such as information obtained in the course of a board investigation or to achieve voluntary compliance with Iowa Code chapter </w:t>
      </w:r>
      <w:hyperlink r:id="rId13">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does not preclude the board from treating it as a confidential record. The information may become a public record once the matter is resolved or dismissed.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A request for the treatment of a record as a confidential record shall be in writing and shall be filed with the custodian of the record. The request shall include the specific grounds justifying confidential record treatment for all or part of the record; the specific provision of law that authorizes such confidential record treatment; and the name, address, and telephone number of the person authorized to respond to any board action concerning the request. A person filing such a request shall attach a copy of the record in question. The material to which the request applies shall be physically separated from any materials to which the request does not apply. The request shall be attached to the materials to which it applies. Each page of the material to which the request applies shall be clearly marked confidential. If the original record is being submitted to the board by the person requesting confidentiality at the same time the request is filed, the person shall indicate conspicuously on the original record that all or portions of it are a confidential record. A request for treatment of all or portions of a record as a confidential record for a limited time period shall also specify the precise period of time for which such confidential record treatment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confidentiality. </w:t>
      </w:r>
      <w:r>
        <w:rPr>
          <w:rFonts w:ascii="Times New Roman" w:hAnsi="Times New Roman"/>
          <w:b w:val="false"/>
          <w:i w:val="false"/>
          <w:color w:val="000000"/>
          <w:sz w:val="22"/>
        </w:rPr>
        <w:t>If a person who has submitted business information to the board does not request confidential record treatment for all or part of that information, the custodian of records containing that information may assume that the person who submitted the information has no objection to its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A board decision with respect to the disclosure of all or parts of a record may be made when a request for its treatment as a confidential record is filed or when the board receives a request for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Effect of granted request. </w:t>
      </w:r>
      <w:r>
        <w:rPr>
          <w:rFonts w:ascii="Times New Roman" w:hAnsi="Times New Roman"/>
          <w:b w:val="false"/>
          <w:i w:val="false"/>
          <w:color w:val="000000"/>
          <w:sz w:val="22"/>
        </w:rPr>
        <w:t>If a request for confidential record treatment is granted, or if action on such a request is deferred, a copy of the record from which the matter in question has been deleted and a copy of the board decision will be placed in the public file in lieu of the original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w:t>
      </w:r>
      <w:r>
        <w:rPr>
          <w:rFonts w:ascii="Times New Roman" w:hAnsi="Times New Roman"/>
          <w:b w:val="false"/>
          <w:i w:val="false"/>
          <w:color w:val="000000"/>
          <w:sz w:val="22"/>
        </w:rPr>
        <w:t> </w:t>
      </w:r>
      <w:r>
        <w:rPr>
          <w:rFonts w:ascii="Times New Roman" w:hAnsi="Times New Roman"/>
          <w:b w:val="false"/>
          <w:i/>
          <w:color w:val="000000"/>
          <w:sz w:val="22"/>
        </w:rPr>
        <w:t xml:space="preserve">Effect of denied request. </w:t>
      </w:r>
      <w:r>
        <w:rPr>
          <w:rFonts w:ascii="Times New Roman" w:hAnsi="Times New Roman"/>
          <w:b w:val="false"/>
          <w:i w:val="false"/>
          <w:color w:val="000000"/>
          <w:sz w:val="22"/>
        </w:rPr>
        <w:t xml:space="preserve">If a request for confidential record treatment is denied, the board shall advise the requester in writing on the grounds the request was denied and treat the record as a confidential record for 30 days to allow the person requesting such treatment for the record an opportunity to seek injunctive relief. However, if the board determines that a 30-day delay is not in the public interest and furnishes the requester with a written copy of that determination, including the appropriate grounds, the record will be treated as a confidential record for at least three working days unless prior release of the record is necessary to avoid imminent peril to the public health, safety, or welfare. The board may extend the period of confidential record treatment of such a record beyond 30 days only if a court directs the board to treat the record as a confidential record or to the extent permitted by Iowa Code chapter </w:t>
      </w:r>
      <w:hyperlink r:id="rId1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with the consent of the person requesting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351—2.6</w:t>
      </w:r>
      <w:r>
        <w:rPr>
          <w:rFonts w:ascii="Times New Roman" w:hAnsi="Times New Roman"/>
          <w:b/>
          <w:i w:val="false"/>
          <w:color w:val="000000"/>
          <w:sz w:val="22"/>
        </w:rPr>
        <w:t xml:space="preserve">(22,68A,68B) </w:t>
      </w:r>
      <w:r>
        <w:rPr>
          <w:rFonts w:ascii="Times New Roman" w:hAnsi="Times New Roman"/>
          <w:b/>
          <w:i w:val="false"/>
          <w:color w:val="000000"/>
          <w:sz w:val="22"/>
        </w:rPr>
        <w:t xml:space="preserve">Procedure by which a subject may have additions, dissents or objections entered into the record. </w:t>
      </w:r>
      <w:r>
        <w:rPr>
          <w:rFonts w:ascii="Times New Roman" w:hAnsi="Times New Roman"/>
          <w:b w:val="false"/>
          <w:i w:val="false"/>
          <w:color w:val="000000"/>
          <w:sz w:val="22"/>
        </w:rPr>
        <w:t>Except as otherwise provided by law, the subject shall have the right to have a written statement of additions, dissents or objections entered into the record. However, any additions, dissents or objections entered into the record shall not be considered evidence in a contested case proceeding. The subject shall send the statement to the Executive Director, Iowa Ethics and Campaign Disclosure Board, 510 East 12th Street, Suite 1A, Des Moines, Iowa 50319. The statement shall be dated and signed by the subject and shall include the subject’s current address and telephone number.</w:t>
      </w:r>
    </w:p>
    <w:p>
      <w:pPr>
        <w:spacing w:before="210" w:after="0"/>
        <w:ind w:left="120"/>
        <w:jc w:val="both"/>
      </w:pPr>
      <w:r>
        <w:rPr>
          <w:rFonts w:ascii="Times New Roman" w:hAnsi="Times New Roman"/>
          <w:b/>
          <w:i w:val="false"/>
          <w:color w:val="000000"/>
          <w:sz w:val="22"/>
        </w:rPr>
        <w:t>351—2.7</w:t>
      </w:r>
      <w:r>
        <w:rPr>
          <w:rFonts w:ascii="Times New Roman" w:hAnsi="Times New Roman"/>
          <w:b/>
          <w:i w:val="false"/>
          <w:color w:val="000000"/>
          <w:sz w:val="22"/>
        </w:rPr>
        <w:t xml:space="preserve">(22,68A,68B)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The subject of a confidential record may consent to board disclosure to a third party of that portion of the record concerning the subject. The consent must be in writing and must identify the particular record that may be disclosed, the particular person or class of persons to whom the record may be disclosed, and, where applicable, the time period during which the record may be disclosed. The subject and, where applicable, the person to whom the record is to be disclosed must provide proof of identity.</w:t>
      </w:r>
    </w:p>
    <w:p>
      <w:pPr>
        <w:spacing w:before="210" w:after="0"/>
        <w:ind w:left="120"/>
        <w:jc w:val="both"/>
      </w:pPr>
      <w:r>
        <w:rPr>
          <w:rFonts w:ascii="Times New Roman" w:hAnsi="Times New Roman"/>
          <w:b/>
          <w:i w:val="false"/>
          <w:color w:val="000000"/>
          <w:sz w:val="22"/>
        </w:rPr>
        <w:t>351—2.8</w:t>
      </w:r>
      <w:r>
        <w:rPr>
          <w:rFonts w:ascii="Times New Roman" w:hAnsi="Times New Roman"/>
          <w:b/>
          <w:i w:val="false"/>
          <w:color w:val="000000"/>
          <w:sz w:val="22"/>
        </w:rPr>
        <w:t xml:space="preserve">(22,68A,68B)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board requests persons to supply information about themselves, the board shall notify those persons of the use that will be made of the information, which persons outside the board might routinely be provided this information, which parts of the requested information are required and which are optional, and the consequences of a failure to provide the information. Notice may be given in this chapter, on the written form used to collect the information, in a separate fact sheet or letter, in brochures, in formal agreements or contracts, in handbooks or manuals, orally, or by other appropriate means.</w:t>
      </w:r>
    </w:p>
    <w:p>
      <w:pPr>
        <w:spacing w:before="0" w:after="0"/>
        <w:ind w:left="120"/>
        <w:jc w:val="both"/>
      </w:pPr>
      <w:r>
        <w:rPr>
          <w:rFonts w:ascii="Times New Roman" w:hAnsi="Times New Roman"/>
          <w:b/>
          <w:i w:val="false"/>
          <w:color w:val="000000"/>
          <w:sz w:val="22"/>
        </w:rPr>
        <w:t>351—2.9</w:t>
      </w:r>
      <w:r>
        <w:rPr>
          <w:rFonts w:ascii="Times New Roman" w:hAnsi="Times New Roman"/>
          <w:b/>
          <w:i w:val="false"/>
          <w:color w:val="000000"/>
          <w:sz w:val="22"/>
        </w:rPr>
        <w:t xml:space="preserve">(22,68A,68B) </w:t>
      </w:r>
      <w:r>
        <w:rPr>
          <w:rFonts w:ascii="Times New Roman" w:hAnsi="Times New Roman"/>
          <w:b/>
          <w:i w:val="false"/>
          <w:color w:val="000000"/>
          <w:sz w:val="22"/>
        </w:rPr>
        <w:t xml:space="preserve">Disclosure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An open record is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color w:val="000000"/>
          <w:sz w:val="22"/>
        </w:rPr>
        <w:t xml:space="preserve">Partial open record. </w:t>
      </w:r>
      <w:r>
        <w:rPr>
          <w:rFonts w:ascii="Times New Roman" w:hAnsi="Times New Roman"/>
          <w:b w:val="false"/>
          <w:i w:val="false"/>
          <w:color w:val="000000"/>
          <w:sz w:val="22"/>
        </w:rPr>
        <w:t>If the board is prohibited from disclosing part of a document from inspection, that part will not be disclosed and the remainder will be made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w:t>
      </w:r>
      <w:r>
        <w:rPr>
          <w:rFonts w:ascii="Times New Roman" w:hAnsi="Times New Roman"/>
          <w:b w:val="false"/>
          <w:i w:val="false"/>
          <w:color w:val="000000"/>
          <w:sz w:val="22"/>
        </w:rPr>
        <w:t> </w:t>
      </w:r>
      <w:r>
        <w:rPr>
          <w:rFonts w:ascii="Times New Roman" w:hAnsi="Times New Roman"/>
          <w:b w:val="false"/>
          <w:i/>
          <w:color w:val="000000"/>
          <w:sz w:val="22"/>
        </w:rPr>
        <w:t xml:space="preserve">Disclosure of confidential record. </w:t>
      </w:r>
      <w:r>
        <w:rPr>
          <w:rFonts w:ascii="Times New Roman" w:hAnsi="Times New Roman"/>
          <w:b w:val="false"/>
          <w:i w:val="false"/>
          <w:color w:val="000000"/>
          <w:sz w:val="22"/>
        </w:rPr>
        <w:t>To the extent allowed by law, disclosure of a confidential record may occur without the consent of the subject. Following are instances when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16">
        <w:r>
          <w:rPr>
            <w:rStyle w:val="Hyperlink"/>
            <w:rFonts w:ascii="Times New Roman" w:hAnsi="Times New Roman"/>
            <w:b w:val="false"/>
            <w:i w:val="false"/>
            <w:color w:val="000000"/>
            <w:sz w:val="22"/>
          </w:rPr>
          <w:t>351—2.10</w:t>
        </w:r>
      </w:hyperlink>
      <w:r>
        <w:rPr>
          <w:rFonts w:ascii="Times New Roman" w:hAnsi="Times New Roman"/>
          <w:b w:val="false"/>
          <w:i w:val="false"/>
          <w:color w:val="000000"/>
          <w:sz w:val="22"/>
        </w:rPr>
        <w:t>(22,68A,68B)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the head of the government agency or instrumentality has submitted a written request to the board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board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i w:val="false"/>
          <w:color w:val="000000"/>
          <w:sz w:val="22"/>
        </w:rPr>
        <w:t>351—2.10</w:t>
      </w:r>
      <w:r>
        <w:rPr>
          <w:rFonts w:ascii="Times New Roman" w:hAnsi="Times New Roman"/>
          <w:b/>
          <w:i w:val="false"/>
          <w:color w:val="000000"/>
          <w:sz w:val="22"/>
        </w:rPr>
        <w:t xml:space="preserve">(22,68A,68B)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Defined. </w:t>
      </w:r>
      <w:r>
        <w:rPr>
          <w:rFonts w:ascii="Times New Roman" w:hAnsi="Times New Roman"/>
          <w:b w:val="false"/>
          <w:i w:val="false"/>
          <w:color w:val="000000"/>
          <w:sz w:val="22"/>
        </w:rPr>
        <w:t xml:space="preserve">“Routine use” means the disclosure of a record without the consent of the subject or subjects for a purpose that is compatible with the purpose for which the record was collected. “Routine use” includes disclosures required to be made by statute other than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Examples of routine uses. </w:t>
      </w:r>
      <w:r>
        <w:rPr>
          <w:rFonts w:ascii="Times New Roman" w:hAnsi="Times New Roman"/>
          <w:b w:val="false"/>
          <w:i w:val="false"/>
          <w:color w:val="000000"/>
          <w:sz w:val="22"/>
        </w:rPr>
        <w:t>To the extent allowed by law, the following are considered routine uses of all board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officers, employees, and agents of the board who have a need for the record in the performance of their duties. The custodian of the record may, upon request of any officer or employee, or on the initiative of the custodian,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board, to other state and federal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board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disclosure specifically authorized by the statute under which the record was collected or maintained, including disclosure to the general public of information contained in reports required to be filed by Iowa Code chapter </w:t>
      </w:r>
      <w:hyperlink r:id="rId18">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following records are routinely disseminated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and statements filed by campaign committees as authorized by Iowa Code chapter </w:t>
      </w:r>
      <w:hyperlink r:id="rId20">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and statements filed by executive branch lobbyists as authorized by Iowa Code chapter </w:t>
      </w:r>
      <w:hyperlink r:id="rId21">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financial disclosure forms filed by designated persons in the executive branch as authorized by Iowa Code section </w:t>
      </w:r>
      <w:hyperlink r:id="rId22">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351—2.11</w:t>
      </w:r>
      <w:r>
        <w:rPr>
          <w:rFonts w:ascii="Times New Roman" w:hAnsi="Times New Roman"/>
          <w:b/>
          <w:i w:val="false"/>
          <w:color w:val="000000"/>
          <w:sz w:val="22"/>
        </w:rPr>
        <w:t xml:space="preserve">(22,68A,68B)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board disclosure of confidential records as provided in rule </w:t>
      </w:r>
      <w:hyperlink r:id="rId23">
        <w:r>
          <w:rPr>
            <w:rStyle w:val="Hyperlink"/>
            <w:rFonts w:ascii="Times New Roman" w:hAnsi="Times New Roman"/>
            <w:b w:val="false"/>
            <w:i w:val="false"/>
            <w:color w:val="000000"/>
            <w:sz w:val="22"/>
          </w:rPr>
          <w:t>351—2.7</w:t>
        </w:r>
      </w:hyperlink>
      <w:r>
        <w:rPr>
          <w:rFonts w:ascii="Times New Roman" w:hAnsi="Times New Roman"/>
          <w:b w:val="false"/>
          <w:i w:val="false"/>
          <w:color w:val="000000"/>
          <w:sz w:val="22"/>
        </w:rPr>
        <w:t>(22,68A,68B).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that seeks the official’s intervention on behalf of the subject in a matter that involves the board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351—2.12</w:t>
      </w:r>
      <w:r>
        <w:rPr>
          <w:rFonts w:ascii="Times New Roman" w:hAnsi="Times New Roman"/>
          <w:b/>
          <w:i w:val="false"/>
          <w:color w:val="000000"/>
          <w:sz w:val="22"/>
        </w:rPr>
        <w:t xml:space="preserve">(22,68A,68B)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Filing of request. </w:t>
      </w:r>
      <w:r>
        <w:rPr>
          <w:rFonts w:ascii="Times New Roman" w:hAnsi="Times New Roman"/>
          <w:b w:val="false"/>
          <w:i w:val="false"/>
          <w:color w:val="000000"/>
          <w:sz w:val="22"/>
        </w:rPr>
        <w:t xml:space="preserve">The subject of a confidential record may file a written request to review a confidential record about that person as provided in rule </w:t>
      </w:r>
      <w:hyperlink r:id="rId24">
        <w:r>
          <w:rPr>
            <w:rStyle w:val="Hyperlink"/>
            <w:rFonts w:ascii="Times New Roman" w:hAnsi="Times New Roman"/>
            <w:b w:val="false"/>
            <w:i w:val="false"/>
            <w:color w:val="000000"/>
            <w:sz w:val="22"/>
          </w:rPr>
          <w:t>351—2.6</w:t>
        </w:r>
      </w:hyperlink>
      <w:r>
        <w:rPr>
          <w:rFonts w:ascii="Times New Roman" w:hAnsi="Times New Roman"/>
          <w:b w:val="false"/>
          <w:i w:val="false"/>
          <w:color w:val="000000"/>
          <w:sz w:val="22"/>
        </w:rPr>
        <w:t>(22,68A,68B). However, the board need not release the following records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board need not be disclosed directly or indirectly to the subject when the information is authorized to be held confidential pursuant to Iowa Code section </w:t>
      </w:r>
      <w:hyperlink r:id="rId2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Iowa Code section </w:t>
      </w:r>
      <w:hyperlink r:id="rId26">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Multiple subjects. </w:t>
      </w:r>
      <w:r>
        <w:rPr>
          <w:rFonts w:ascii="Times New Roman" w:hAnsi="Times New Roman"/>
          <w:b w:val="false"/>
          <w:i w:val="false"/>
          <w:color w:val="000000"/>
          <w:sz w:val="22"/>
        </w:rPr>
        <w:t>When a record has multiple subjects with interest in the confidentiality of the record, the board may take reasonable steps to protect confidential information relating to more than one subject.</w:t>
      </w:r>
    </w:p>
    <w:p>
      <w:pPr>
        <w:spacing w:before="0" w:after="0"/>
        <w:ind w:left="120"/>
        <w:jc w:val="both"/>
      </w:pPr>
      <w:r>
        <w:rPr>
          <w:rFonts w:ascii="Times New Roman" w:hAnsi="Times New Roman"/>
          <w:b/>
          <w:i w:val="false"/>
          <w:color w:val="000000"/>
          <w:sz w:val="22"/>
        </w:rPr>
        <w:t>351—2.13</w:t>
      </w:r>
      <w:r>
        <w:rPr>
          <w:rFonts w:ascii="Times New Roman" w:hAnsi="Times New Roman"/>
          <w:b/>
          <w:i w:val="false"/>
          <w:color w:val="000000"/>
          <w:sz w:val="22"/>
        </w:rPr>
        <w:t xml:space="preserve">(22,68A,68B)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Board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under Iowa Code section </w:t>
      </w:r>
      <w:hyperlink r:id="rId27">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board under Iowa Code sections </w:t>
      </w:r>
      <w:hyperlink r:id="rId28">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are exempt from disclosure under Iowa Code section </w:t>
      </w:r>
      <w:hyperlink r:id="rId3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Agendas, minutes and tape recordings of closed meetings of a government body pursuant to Iowa Code subsection </w:t>
      </w:r>
      <w:hyperlink r:id="rId31">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constitute attorney work product, attorney-client communications, or that are otherwise privileged. Attorney work product is confidential under Iowa Code sections </w:t>
      </w:r>
      <w:hyperlink r:id="rId32">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Attorney-client communications are confidential under Iowa Code sections </w:t>
      </w:r>
      <w:hyperlink r:id="rId35">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and the Code of Professional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the board’s staff manuals, instructions or other statements issued that set forth criteria or guidelines to be used by the board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37">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board may have discretion to disclose some confidential records that are exempt from disclosure under Iowa Code section </w:t>
      </w:r>
      <w:hyperlink r:id="rId3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that authorizes limited or discretionary disclosure as provided in rule </w:t>
      </w:r>
      <w:hyperlink r:id="rId39">
        <w:r>
          <w:rPr>
            <w:rStyle w:val="Hyperlink"/>
            <w:rFonts w:ascii="Times New Roman" w:hAnsi="Times New Roman"/>
            <w:b w:val="false"/>
            <w:i w:val="false"/>
            <w:color w:val="000000"/>
            <w:sz w:val="22"/>
          </w:rPr>
          <w:t>351—2.4</w:t>
        </w:r>
      </w:hyperlink>
      <w:r>
        <w:rPr>
          <w:rFonts w:ascii="Times New Roman" w:hAnsi="Times New Roman"/>
          <w:b w:val="false"/>
          <w:i w:val="false"/>
          <w:color w:val="000000"/>
          <w:sz w:val="22"/>
        </w:rPr>
        <w:t xml:space="preserve">(22,68A,68B). If the board initially determines that it will release such records, the board may, where appropriate, notify interested parties and withhold the records from inspection as provided in subrule </w:t>
      </w:r>
      <w:hyperlink r:id="rId40">
        <w:r>
          <w:rPr>
            <w:rStyle w:val="Hyperlink"/>
            <w:rFonts w:ascii="Times New Roman" w:hAnsi="Times New Roman"/>
            <w:b w:val="false"/>
            <w:i w:val="false"/>
            <w:color w:val="000000"/>
            <w:sz w:val="22"/>
          </w:rPr>
          <w:t>2.4(3)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351—2.14</w:t>
      </w:r>
      <w:r>
        <w:rPr>
          <w:rFonts w:ascii="Times New Roman" w:hAnsi="Times New Roman"/>
          <w:b/>
          <w:i w:val="false"/>
          <w:color w:val="000000"/>
          <w:sz w:val="22"/>
        </w:rPr>
        <w:t xml:space="preserve">(22,68A,68B)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board by personal identifier in record systems as defined in rule </w:t>
      </w:r>
      <w:hyperlink r:id="rId41">
        <w:r>
          <w:rPr>
            <w:rStyle w:val="Hyperlink"/>
            <w:rFonts w:ascii="Times New Roman" w:hAnsi="Times New Roman"/>
            <w:b w:val="false"/>
            <w:i w:val="false"/>
            <w:color w:val="000000"/>
            <w:sz w:val="22"/>
          </w:rPr>
          <w:t>351—2.1</w:t>
        </w:r>
      </w:hyperlink>
      <w:r>
        <w:rPr>
          <w:rFonts w:ascii="Times New Roman" w:hAnsi="Times New Roman"/>
          <w:b w:val="false"/>
          <w:i w:val="false"/>
          <w:color w:val="000000"/>
          <w:sz w:val="22"/>
        </w:rPr>
        <w:t>(22,68A,68B). For each record system, this rule describes the legal authority for the collection of that information and the means of storage of information and indicates whether a data processing system matches, collates, or permits the comparison of personally identifiable information in one record system with personally identifiable information in another record system. The record systems maintained by the board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board maintains files containing information about employees, families and dependents, and applicants for positions with the board.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4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Campaign finance organization statements. </w:t>
      </w:r>
      <w:r>
        <w:rPr>
          <w:rFonts w:ascii="Times New Roman" w:hAnsi="Times New Roman"/>
          <w:b w:val="false"/>
          <w:i w:val="false"/>
          <w:color w:val="000000"/>
          <w:sz w:val="22"/>
        </w:rPr>
        <w:t xml:space="preserve">These records include the name and address of the campaign committee and the name and address of the committee officers. The name of the committee may contain a personal identifier. This information is collected pursuant to Iowa Code section </w:t>
      </w:r>
      <w:hyperlink r:id="rId43">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 xml:space="preserve"> or may be voluntarily submitted and is stored on paper and in an automated data processing system. The information stored in the data processing system does not match, collate or permit comparison with other data processing systems. The information contained in statements of organization is public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351—2.15</w:t>
      </w:r>
      <w:r>
        <w:rPr>
          <w:rFonts w:ascii="Times New Roman" w:hAnsi="Times New Roman"/>
          <w:b/>
          <w:i w:val="false"/>
          <w:color w:val="000000"/>
          <w:sz w:val="22"/>
        </w:rPr>
        <w:t xml:space="preserve">(22,68A,68B)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board other than record systems as defined in rule </w:t>
      </w:r>
      <w:hyperlink r:id="rId44">
        <w:r>
          <w:rPr>
            <w:rStyle w:val="Hyperlink"/>
            <w:rFonts w:ascii="Times New Roman" w:hAnsi="Times New Roman"/>
            <w:b w:val="false"/>
            <w:i w:val="false"/>
            <w:color w:val="000000"/>
            <w:sz w:val="22"/>
          </w:rPr>
          <w:t>351—2.1</w:t>
        </w:r>
      </w:hyperlink>
      <w:r>
        <w:rPr>
          <w:rFonts w:ascii="Times New Roman" w:hAnsi="Times New Roman"/>
          <w:b w:val="false"/>
          <w:i w:val="false"/>
          <w:color w:val="000000"/>
          <w:sz w:val="22"/>
        </w:rPr>
        <w:t xml:space="preserve">(22,68A,68B). These records are routinely available to the public. However, the board’s files of these records may contain confidential information pursuant to rule </w:t>
      </w:r>
      <w:hyperlink r:id="rId45">
        <w:r>
          <w:rPr>
            <w:rStyle w:val="Hyperlink"/>
            <w:rFonts w:ascii="Times New Roman" w:hAnsi="Times New Roman"/>
            <w:b w:val="false"/>
            <w:i w:val="false"/>
            <w:color w:val="000000"/>
            <w:sz w:val="22"/>
          </w:rPr>
          <w:t>351—2.13</w:t>
        </w:r>
      </w:hyperlink>
      <w:r>
        <w:rPr>
          <w:rFonts w:ascii="Times New Roman" w:hAnsi="Times New Roman"/>
          <w:b w:val="false"/>
          <w:i w:val="false"/>
          <w:color w:val="000000"/>
          <w:sz w:val="22"/>
        </w:rPr>
        <w:t xml:space="preserve">(22,68A,68B). The records listed may contain information about individuals. Unless otherwise stated, the authority for the board to maintain the record is provided by Iowa Code chapters </w:t>
      </w:r>
      <w:hyperlink r:id="rId4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Public documents generated during the promulgation of board rules, including notices and public comments, are available for public inspection. This information is collected pursuant to Iowa Code section </w:t>
      </w:r>
      <w:hyperlink r:id="rId49">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 xml:space="preserve">Agendas, minutes, and materials presented to the ethics and campaign disclosure board are available from the custodian, except those records concerning closed sessions that are exempt from disclosure under Iowa Code section </w:t>
      </w:r>
      <w:hyperlink r:id="rId50">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that are otherwise confidential by law. Board records may contain information about persons who participate in meetings. This information is collected pursuant to Iowa Code section </w:t>
      </w:r>
      <w:hyperlink r:id="rId51">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These records are not stored in an automated data processing system and may not be retrieved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board receives a number of books, periodicals, newsletters, and government documents. These materials would generally be open to the public but may be protected by copyright law. Most publications of general interest are available in the state library or law library. These records are not stored in an automated data processing system and may not be retrieved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Office publications. </w:t>
      </w:r>
      <w:r>
        <w:rPr>
          <w:rFonts w:ascii="Times New Roman" w:hAnsi="Times New Roman"/>
          <w:b w:val="false"/>
          <w:i w:val="false"/>
          <w:color w:val="000000"/>
          <w:sz w:val="22"/>
        </w:rPr>
        <w:t>The board publishes instructional manuals, forms, form letters, calendars, and brochures. These publications are routinely made available to the public.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These records include documents concerning budget, property inventory, purchasing, yearly reports, office policies for employees, time sheets, office correspondence, and printing and supply requisitions. Some of this information is in the state of Iowa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Decisions, orders, and opinions. </w:t>
      </w:r>
      <w:r>
        <w:rPr>
          <w:rFonts w:ascii="Times New Roman" w:hAnsi="Times New Roman"/>
          <w:b w:val="false"/>
          <w:i w:val="false"/>
          <w:color w:val="000000"/>
          <w:sz w:val="22"/>
        </w:rPr>
        <w:t xml:space="preserve">All final decisions, orders, and opinions are available for public inspection in accordance with Iowa Code section </w:t>
      </w:r>
      <w:hyperlink r:id="rId5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These records may contain personally identifiable information regarding individuals who are the subjects or requesters of the order, decision, or opinion. This information is collected pursuant to Iowa Code chapters </w:t>
      </w:r>
      <w:hyperlink r:id="rId5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 xml:space="preserve">The board employees’ manual, containing the policies and procedures for programs administered by the board, is available from the custodian except as noted in rule </w:t>
      </w:r>
      <w:hyperlink r:id="rId55">
        <w:r>
          <w:rPr>
            <w:rStyle w:val="Hyperlink"/>
            <w:rFonts w:ascii="Times New Roman" w:hAnsi="Times New Roman"/>
            <w:b w:val="false"/>
            <w:i w:val="false"/>
            <w:color w:val="000000"/>
            <w:sz w:val="22"/>
          </w:rPr>
          <w:t>351—2.14</w:t>
        </w:r>
      </w:hyperlink>
      <w:r>
        <w:rPr>
          <w:rFonts w:ascii="Times New Roman" w:hAnsi="Times New Roman"/>
          <w:b w:val="false"/>
          <w:i w:val="false"/>
          <w:color w:val="000000"/>
          <w:sz w:val="22"/>
        </w:rPr>
        <w:t>(22,68A,68B).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w:t>
      </w:r>
      <w:r>
        <w:rPr>
          <w:rFonts w:ascii="Times New Roman" w:hAnsi="Times New Roman"/>
          <w:b w:val="false"/>
          <w:i w:val="false"/>
          <w:color w:val="000000"/>
          <w:sz w:val="22"/>
        </w:rPr>
        <w:t> </w:t>
      </w:r>
      <w:r>
        <w:rPr>
          <w:rFonts w:ascii="Times New Roman" w:hAnsi="Times New Roman"/>
          <w:b w:val="false"/>
          <w:i/>
          <w:color w:val="000000"/>
          <w:sz w:val="22"/>
        </w:rPr>
        <w:t xml:space="preserve">Campaign finance disclosure reports. </w:t>
      </w:r>
      <w:r>
        <w:rPr>
          <w:rFonts w:ascii="Times New Roman" w:hAnsi="Times New Roman"/>
          <w:b w:val="false"/>
          <w:i w:val="false"/>
          <w:color w:val="000000"/>
          <w:sz w:val="22"/>
        </w:rPr>
        <w:t xml:space="preserve">These records contain information about campaign committees that include itemization of the source of contributions, a list of expenditures, itemization of fundraising events, debts incurred, donors of goods or services, loan transactions, and details of contracts with consultants. These records may include an individual’s name and address. These records are required by Iowa Code section </w:t>
      </w:r>
      <w:hyperlink r:id="rId56">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 xml:space="preserve"> and may be voluntarily submitted. These records are available by paper and are accessible via the board’s Web site at </w:t>
      </w:r>
      <w:hyperlink r:id="rId57">
        <w:r>
          <w:rPr>
            <w:rStyle w:val="Hyperlink"/>
            <w:rFonts w:ascii="Times New Roman" w:hAnsi="Times New Roman"/>
            <w:b w:val="false"/>
            <w:i w:val="false"/>
            <w:color w:val="000000"/>
            <w:sz w:val="22"/>
            <w:u w:val="single"/>
          </w:rPr>
          <w:t>www.iowa.gov/ethics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2.15(9)</w:t>
      </w:r>
      <w:r>
        <w:rPr>
          <w:rFonts w:ascii="Times New Roman" w:hAnsi="Times New Roman"/>
          <w:b w:val="false"/>
          <w:i w:val="false"/>
          <w:color w:val="000000"/>
          <w:sz w:val="22"/>
        </w:rPr>
        <w:t> </w:t>
      </w:r>
      <w:r>
        <w:rPr>
          <w:rFonts w:ascii="Times New Roman" w:hAnsi="Times New Roman"/>
          <w:b w:val="false"/>
          <w:i/>
          <w:color w:val="000000"/>
          <w:sz w:val="22"/>
        </w:rPr>
        <w:t xml:space="preserve">Federal repository. </w:t>
      </w:r>
      <w:r>
        <w:rPr>
          <w:rFonts w:ascii="Times New Roman" w:hAnsi="Times New Roman"/>
          <w:b w:val="false"/>
          <w:i w:val="false"/>
          <w:color w:val="000000"/>
          <w:sz w:val="22"/>
        </w:rPr>
        <w:t xml:space="preserve">The board serves as the Iowa repository for public viewing of a variety of disclosure reports required to be filed under the jurisdiction of the Federal Election Commission. These records are accessible via the board’s Web site at </w:t>
      </w:r>
      <w:hyperlink r:id="rId58">
        <w:r>
          <w:rPr>
            <w:rStyle w:val="Hyperlink"/>
            <w:rFonts w:ascii="Times New Roman" w:hAnsi="Times New Roman"/>
            <w:b w:val="false"/>
            <w:i w:val="false"/>
            <w:color w:val="000000"/>
            <w:sz w:val="22"/>
            <w:u w:val="single"/>
          </w:rPr>
          <w:t>www.iowa.gov/ethics</w:t>
        </w:r>
      </w:hyperlink>
      <w:r>
        <w:rPr>
          <w:rFonts w:ascii="Times New Roman" w:hAnsi="Times New Roman"/>
          <w:b w:val="false"/>
          <w:i w:val="false"/>
          <w:color w:val="000000"/>
          <w:sz w:val="22"/>
        </w:rPr>
        <w:t xml:space="preserve"> through a computer modem connected with the Federal Election Commission’s database. The computer records are for viewing, and reports may be printed. The terminal does not permit these records to be changed or deleted. Reports are accessed by the name of the reporting committee. Information in this database does not match, collate, or permit comparison with other data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2.15(10)</w:t>
      </w:r>
      <w:r>
        <w:rPr>
          <w:rFonts w:ascii="Times New Roman" w:hAnsi="Times New Roman"/>
          <w:b w:val="false"/>
          <w:i w:val="false"/>
          <w:color w:val="000000"/>
          <w:sz w:val="22"/>
        </w:rPr>
        <w:t> </w:t>
      </w:r>
      <w:r>
        <w:rPr>
          <w:rFonts w:ascii="Times New Roman" w:hAnsi="Times New Roman"/>
          <w:b w:val="false"/>
          <w:i/>
          <w:color w:val="000000"/>
          <w:sz w:val="22"/>
        </w:rPr>
        <w:t xml:space="preserve">Executive branch lobbying reports. </w:t>
      </w:r>
      <w:r>
        <w:rPr>
          <w:rFonts w:ascii="Times New Roman" w:hAnsi="Times New Roman"/>
          <w:b w:val="false"/>
          <w:i w:val="false"/>
          <w:color w:val="000000"/>
          <w:sz w:val="22"/>
        </w:rPr>
        <w:t xml:space="preserve">The general assembly serves as the repository for public viewing of executive branch lobbyist registration statements and executive branch lobbyist client reports. These reports are accessible via the board’s Web site at </w:t>
      </w:r>
      <w:hyperlink r:id="rId59">
        <w:r>
          <w:rPr>
            <w:rStyle w:val="Hyperlink"/>
            <w:rFonts w:ascii="Times New Roman" w:hAnsi="Times New Roman"/>
            <w:b w:val="false"/>
            <w:i w:val="false"/>
            <w:color w:val="000000"/>
            <w:sz w:val="22"/>
            <w:u w:val="single"/>
          </w:rPr>
          <w:t>www.iowa.gov/ethics</w:t>
        </w:r>
      </w:hyperlink>
      <w:r>
        <w:rPr>
          <w:rFonts w:ascii="Times New Roman" w:hAnsi="Times New Roman"/>
          <w:b w:val="false"/>
          <w:i w:val="false"/>
          <w:color w:val="000000"/>
          <w:sz w:val="22"/>
        </w:rPr>
        <w:t xml:space="preserve">. The information disclosed on these reports is required by 2011 Iowa Code Supplement sections </w:t>
      </w:r>
      <w:hyperlink r:id="rId60">
        <w:r>
          <w:rPr>
            <w:rStyle w:val="Hyperlink"/>
            <w:rFonts w:ascii="Times New Roman" w:hAnsi="Times New Roman"/>
            <w:b w:val="false"/>
            <w:i w:val="false"/>
            <w:color w:val="000000"/>
            <w:sz w:val="22"/>
          </w:rPr>
          <w:t>68B.36</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68B.38</w:t>
        </w:r>
      </w:hyperlink>
      <w:r>
        <w:rPr>
          <w:rFonts w:ascii="Times New Roman" w:hAnsi="Times New Roman"/>
          <w:b w:val="false"/>
          <w:i w:val="false"/>
          <w:color w:val="000000"/>
          <w:sz w:val="22"/>
        </w:rPr>
        <w:t>. This information does not match, collate, or permit comparison with other data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w:t>
      </w:r>
      <w:r>
        <w:rPr>
          <w:rFonts w:ascii="Times New Roman" w:hAnsi="Times New Roman"/>
          <w:b w:val="false"/>
          <w:i w:val="false"/>
          <w:color w:val="000000"/>
          <w:sz w:val="22"/>
        </w:rPr>
        <w:t> </w:t>
      </w:r>
      <w:r>
        <w:rPr>
          <w:rFonts w:ascii="Times New Roman" w:hAnsi="Times New Roman"/>
          <w:b w:val="false"/>
          <w:i/>
          <w:color w:val="000000"/>
          <w:sz w:val="22"/>
        </w:rPr>
        <w:t xml:space="preserve">Personal financial disclosure. </w:t>
      </w:r>
      <w:r>
        <w:rPr>
          <w:rFonts w:ascii="Times New Roman" w:hAnsi="Times New Roman"/>
          <w:b w:val="false"/>
          <w:i w:val="false"/>
          <w:color w:val="000000"/>
          <w:sz w:val="22"/>
        </w:rPr>
        <w:t xml:space="preserve">The board serves as the repository for the filing of personal financial disclosure forms (Form PFD) for designated positions in the executive branch. These reports are available by paper and are also accessible via the board’s Web site at </w:t>
      </w:r>
      <w:hyperlink r:id="rId62">
        <w:r>
          <w:rPr>
            <w:rStyle w:val="Hyperlink"/>
            <w:rFonts w:ascii="Times New Roman" w:hAnsi="Times New Roman"/>
            <w:b w:val="false"/>
            <w:i w:val="false"/>
            <w:color w:val="000000"/>
            <w:sz w:val="22"/>
            <w:u w:val="single"/>
          </w:rPr>
          <w:t>www.iowa.gov/ethics</w:t>
        </w:r>
      </w:hyperlink>
      <w:r>
        <w:rPr>
          <w:rFonts w:ascii="Times New Roman" w:hAnsi="Times New Roman"/>
          <w:b w:val="false"/>
          <w:i w:val="false"/>
          <w:color w:val="000000"/>
          <w:sz w:val="22"/>
        </w:rPr>
        <w:t xml:space="preserve">. The information disclosed on these forms is required by Iowa Code section </w:t>
      </w:r>
      <w:hyperlink r:id="rId63">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 This information does not match, collate, or permit comparison with other data processing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 xml:space="preserve">; </w:t>
      </w:r>
      <w:r>
        <w:rPr>
          <w:rFonts w:ascii="Times New Roman" w:hAnsi="Times New Roman"/>
          <w:b/>
          <w:i w:val="false"/>
          <w:color w:val="000000"/>
          <w:sz w:val="16"/>
        </w:rPr>
        <w:t>ARC 9986B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351—2.16</w:t>
      </w:r>
      <w:r>
        <w:rPr>
          <w:rFonts w:ascii="Times New Roman" w:hAnsi="Times New Roman"/>
          <w:b/>
          <w:i w:val="false"/>
          <w:color w:val="000000"/>
          <w:sz w:val="22"/>
        </w:rPr>
        <w:t xml:space="preserve">(22,68A,68B)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board compare personally identifiable information in one record system with personally identifiable information in another record system.</w:t>
      </w:r>
    </w:p>
    <w:p>
      <w:pPr>
        <w:spacing w:before="0" w:after="0"/>
        <w:ind w:left="120"/>
        <w:jc w:val="both"/>
      </w:pPr>
      <w:r>
        <w:rPr>
          <w:rFonts w:ascii="Times New Roman" w:hAnsi="Times New Roman"/>
          <w:b/>
          <w:i w:val="false"/>
          <w:color w:val="000000"/>
          <w:sz w:val="22"/>
        </w:rPr>
        <w:t>351—2.17</w:t>
      </w:r>
      <w:r>
        <w:rPr>
          <w:rFonts w:ascii="Times New Roman" w:hAnsi="Times New Roman"/>
          <w:b/>
          <w:i w:val="false"/>
          <w:color w:val="000000"/>
          <w:sz w:val="22"/>
        </w:rPr>
        <w:t xml:space="preserve">(22,68A,68B) </w:t>
      </w:r>
      <w:r>
        <w:rPr>
          <w:rFonts w:ascii="Times New Roman" w:hAnsi="Times New Roman"/>
          <w:b/>
          <w:i w:val="false"/>
          <w:color w:val="000000"/>
          <w:sz w:val="22"/>
        </w:rPr>
        <w:t xml:space="preserve">Limitation of 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Require the board to index or retrieve records that contain information about a person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a record that would otherwise not be available to the general public under Iowa Code chapter </w:t>
      </w:r>
      <w:hyperlink r:id="rId6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a record in the possession of the board that is governed by the rules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board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regulations of the board.</w:t>
      </w:r>
    </w:p>
    <w:p>
      <w:pPr>
        <w:spacing w:before="0" w:after="0"/>
        <w:ind w:left="120"/>
        <w:jc w:val="both"/>
      </w:pPr>
      <w:r>
        <w:rPr>
          <w:rFonts w:ascii="Times New Roman" w:hAnsi="Times New Roman"/>
          <w:b/>
          <w:i w:val="false"/>
          <w:color w:val="000000"/>
          <w:sz w:val="22"/>
        </w:rPr>
        <w:t>351—2.18</w:t>
      </w:r>
      <w:r>
        <w:rPr>
          <w:rFonts w:ascii="Times New Roman" w:hAnsi="Times New Roman"/>
          <w:b/>
          <w:i w:val="false"/>
          <w:color w:val="000000"/>
          <w:sz w:val="22"/>
        </w:rPr>
        <w:t xml:space="preserve">(68B) </w:t>
      </w:r>
      <w:r>
        <w:rPr>
          <w:rFonts w:ascii="Times New Roman" w:hAnsi="Times New Roman"/>
          <w:b/>
          <w:i w:val="false"/>
          <w:color w:val="000000"/>
          <w:sz w:val="22"/>
        </w:rPr>
        <w:t xml:space="preserve">Use of information prohibited. </w:t>
      </w:r>
      <w:r>
        <w:rPr>
          <w:rFonts w:ascii="Times New Roman" w:hAnsi="Times New Roman"/>
          <w:b w:val="false"/>
          <w:i w:val="false"/>
          <w:color w:val="000000"/>
          <w:sz w:val="22"/>
        </w:rPr>
        <w:t xml:space="preserve">Pursuant to Iowa Code section </w:t>
      </w:r>
      <w:hyperlink r:id="rId65">
        <w:r>
          <w:rPr>
            <w:rStyle w:val="Hyperlink"/>
            <w:rFonts w:ascii="Times New Roman" w:hAnsi="Times New Roman"/>
            <w:b w:val="false"/>
            <w:i w:val="false"/>
            <w:color w:val="000000"/>
            <w:sz w:val="22"/>
          </w:rPr>
          <w:t>68B.32A(7)</w:t>
        </w:r>
      </w:hyperlink>
      <w:r>
        <w:rPr>
          <w:rFonts w:ascii="Times New Roman" w:hAnsi="Times New Roman"/>
          <w:b w:val="false"/>
          <w:i w:val="false"/>
          <w:color w:val="000000"/>
          <w:sz w:val="22"/>
        </w:rPr>
        <w:t xml:space="preserve">, the information obtained from statements or reports filed with the board under Iowa Code chapter </w:t>
      </w:r>
      <w:hyperlink r:id="rId66">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Iowa Code chapter </w:t>
      </w:r>
      <w:hyperlink r:id="rId67">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Iowa Code section </w:t>
      </w:r>
      <w:hyperlink r:id="rId68">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or rules adopted by the board shall not be copied or otherwise used for any commercial purpose. For purposes of this rule, “commercial purpose” shall include solicitations by a business or charitable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following uses of information for solicitations are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used in newspapers, magazines, books, or other similar communications, so long as the principal purpose of such communications is for providing information to the public and not for other commercial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Soliciting political campaign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 xml:space="preserve">Any person violating this rule shall be subject to the board’s disciplinary process set out in Iowa Code chapter </w:t>
      </w:r>
      <w:hyperlink r:id="rId69">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the board’s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6/24/88 after Notice 5/18/88—published 7/27/88, effective 6/24/88]</w:t>
      </w:r>
    </w:p>
    <w:p>
      <w:pPr>
        <w:spacing w:before="0" w:after="0"/>
        <w:ind w:left="120"/>
        <w:jc w:val="center"/>
      </w:pPr>
      <w:r>
        <w:rPr>
          <w:rFonts w:ascii="Times New Roman" w:hAnsi="Times New Roman"/>
          <w:b w:val="false"/>
          <w:i w:val="false"/>
          <w:color w:val="000000"/>
          <w:sz w:val="21"/>
        </w:rPr>
        <w:t>[Filed 3/11/94, Notice 1/5/94—published 3/30/94, effective 5/4/94]</w:t>
      </w:r>
    </w:p>
    <w:p>
      <w:pPr>
        <w:spacing w:before="0" w:after="0"/>
        <w:ind w:left="120"/>
        <w:jc w:val="center"/>
      </w:pPr>
      <w:r>
        <w:rPr>
          <w:rFonts w:ascii="Times New Roman" w:hAnsi="Times New Roman"/>
          <w:b w:val="false"/>
          <w:i w:val="false"/>
          <w:color w:val="000000"/>
          <w:sz w:val="21"/>
        </w:rPr>
        <w:t>[Filed emergency 6/16/94—published 7/6/94, effective 6/16/94]</w:t>
      </w:r>
    </w:p>
    <w:p>
      <w:pPr>
        <w:spacing w:before="0" w:after="0"/>
        <w:ind w:left="120"/>
        <w:jc w:val="center"/>
      </w:pPr>
      <w:r>
        <w:rPr>
          <w:rFonts w:ascii="Times New Roman" w:hAnsi="Times New Roman"/>
          <w:b w:val="false"/>
          <w:i w:val="false"/>
          <w:color w:val="000000"/>
          <w:sz w:val="21"/>
        </w:rPr>
        <w:t>[Filed 7/25/03, Notice 5/28/03—published 8/20/03, effective 9/24/03]</w:t>
      </w:r>
    </w:p>
    <w:p>
      <w:pPr>
        <w:spacing w:before="0" w:after="0"/>
        <w:ind w:left="120"/>
        <w:jc w:val="center"/>
      </w:pPr>
      <w:r>
        <w:rPr>
          <w:rFonts w:ascii="Times New Roman" w:hAnsi="Times New Roman"/>
          <w:b w:val="false"/>
          <w:i w:val="false"/>
          <w:color w:val="000000"/>
          <w:sz w:val="21"/>
        </w:rPr>
        <w:t>[Filed 9/25/06, Notice 8/2/06—published 10/25/06, effective 11/29/06]</w:t>
      </w:r>
    </w:p>
    <w:p>
      <w:pPr>
        <w:spacing w:before="0" w:after="0"/>
        <w:ind w:left="120"/>
        <w:jc w:val="center"/>
      </w:pPr>
      <w:r>
        <w:rPr>
          <w:rFonts w:ascii="Times New Roman" w:hAnsi="Times New Roman"/>
          <w:b w:val="false"/>
          <w:i w:val="false"/>
          <w:color w:val="000000"/>
          <w:sz w:val="21"/>
        </w:rPr>
        <w:t>[Filed without Notice 7/11/07—published 8/1/07, effective 9/5/07]</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ARC 9986B</w:t>
      </w:r>
      <w:r>
        <w:rPr>
          <w:rFonts w:ascii="Times New Roman" w:hAnsi="Times New Roman"/>
          <w:b w:val="false"/>
          <w:i w:val="false"/>
          <w:color w:val="000000"/>
          <w:sz w:val="21"/>
        </w:rPr>
        <w:t xml:space="preserve"> (Notice ARC 9679B, IAB 8/24/11)</w:t>
      </w:r>
      <w:r>
        <w:rPr>
          <w:rFonts w:ascii="Times New Roman" w:hAnsi="Times New Roman"/>
          <w:b w:val="false"/>
          <w:i w:val="false"/>
          <w:color w:val="000000"/>
          <w:sz w:val="21"/>
        </w:rPr>
        <w:t>, IAB 2/8/12, effective 3/14/12]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www.iowa.gov/ethics"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ac/rule/351.2.3.pdf" Type="http://schemas.openxmlformats.org/officeDocument/2006/relationships/hyperlink" Id="rId12"/>
    <Relationship TargetMode="External" Target="https://www.legis.iowa.gov/docs/ico/chapter/68A.pdf" Type="http://schemas.openxmlformats.org/officeDocument/2006/relationships/hyperlink" Id="rId13"/>
    <Relationship TargetMode="External" Target="https://www.legis.iowa.gov/docs/ico/chapter/68B.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ac/rule/351.2.10.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co/chapter/68A.pdf" Type="http://schemas.openxmlformats.org/officeDocument/2006/relationships/hyperlink" Id="rId18"/>
    <Relationship TargetMode="External" Target="https://www.legis.iowa.gov/docs/ico/chapter/68B.pdf" Type="http://schemas.openxmlformats.org/officeDocument/2006/relationships/hyperlink" Id="rId19"/>
    <Relationship TargetMode="External" Target="https://www.legis.iowa.gov/docs/ico/chapter/68A.pdf" Type="http://schemas.openxmlformats.org/officeDocument/2006/relationships/hyperlink" Id="rId20"/>
    <Relationship TargetMode="External" Target="https://www.legis.iowa.gov/docs/ico/chapter/68B.pdf" Type="http://schemas.openxmlformats.org/officeDocument/2006/relationships/hyperlink" Id="rId21"/>
    <Relationship TargetMode="External" Target="https://www.legis.iowa.gov/docs/ico/chapter/68B.35.pdf" Type="http://schemas.openxmlformats.org/officeDocument/2006/relationships/hyperlink" Id="rId22"/>
    <Relationship TargetMode="External" Target="https://www.legis.iowa.gov/docs/iac/rule/351.2.7.pdf" Type="http://schemas.openxmlformats.org/officeDocument/2006/relationships/hyperlink" Id="rId23"/>
    <Relationship TargetMode="External" Target="https://www.legis.iowa.gov/docs/iac/rule/351.2.6.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72.3.pdf" Type="http://schemas.openxmlformats.org/officeDocument/2006/relationships/hyperlink" Id="rId27"/>
    <Relationship TargetMode="External" Target="https://www.legis.iowa.gov/docs/ico/chapter/422.72.pdf" Type="http://schemas.openxmlformats.org/officeDocument/2006/relationships/hyperlink" Id="rId28"/>
    <Relationship TargetMode="External" Target="https://www.legis.iowa.gov/docs/ico/chapter/422.20.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co/chapter/21.5.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co/chapter/622.10.pdf" Type="http://schemas.openxmlformats.org/officeDocument/2006/relationships/hyperlink" Id="rId33"/>
    <Relationship TargetMode="External" Target="https://www.legis.iowa.gov/docs/ico/chapter/622.11.pdf" Type="http://schemas.openxmlformats.org/officeDocument/2006/relationships/hyperlink" Id="rId34"/>
    <Relationship TargetMode="External" Target="https://www.legis.iowa.gov/docs/ico/chapter/622.10.pdf" Type="http://schemas.openxmlformats.org/officeDocument/2006/relationships/hyperlink" Id="rId35"/>
    <Relationship TargetMode="External" Target="https://www.legis.iowa.gov/docs/ico/chapter/622.11.pdf" Type="http://schemas.openxmlformats.org/officeDocument/2006/relationships/hyperlink" Id="rId36"/>
    <Relationship TargetMode="External" Target="https://www.legis.iowa.gov/docs/ico/chapter/17A.3.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ac/rule/351.2.4.pdf" Type="http://schemas.openxmlformats.org/officeDocument/2006/relationships/hyperlink" Id="rId39"/>
    <Relationship TargetMode="External" Target="https://www.legis.iowa.gov/docs/iac/rule/351.2.4.pdf" Type="http://schemas.openxmlformats.org/officeDocument/2006/relationships/hyperlink" Id="rId40"/>
    <Relationship TargetMode="External" Target="https://www.legis.iowa.gov/docs/iac/rule/351.2.1.pdf" Type="http://schemas.openxmlformats.org/officeDocument/2006/relationships/hyperlink" Id="rId41"/>
    <Relationship TargetMode="External" Target="https://www.legis.iowa.gov/docs/ico/chapter/22.7.pdf" Type="http://schemas.openxmlformats.org/officeDocument/2006/relationships/hyperlink" Id="rId42"/>
    <Relationship TargetMode="External" Target="https://www.legis.iowa.gov/docs/ico/chapter/68A.201.pdf" Type="http://schemas.openxmlformats.org/officeDocument/2006/relationships/hyperlink" Id="rId43"/>
    <Relationship TargetMode="External" Target="https://www.legis.iowa.gov/docs/iac/rule/351.2.1.pdf" Type="http://schemas.openxmlformats.org/officeDocument/2006/relationships/hyperlink" Id="rId44"/>
    <Relationship TargetMode="External" Target="https://www.legis.iowa.gov/docs/iac/rule/351.2.13.pdf" Type="http://schemas.openxmlformats.org/officeDocument/2006/relationships/hyperlink" Id="rId45"/>
    <Relationship TargetMode="External" Target="https://www.legis.iowa.gov/docs/ico/chapter/22.pdf" Type="http://schemas.openxmlformats.org/officeDocument/2006/relationships/hyperlink" Id="rId46"/>
    <Relationship TargetMode="External" Target="https://www.legis.iowa.gov/docs/ico/chapter/68A.pdf" Type="http://schemas.openxmlformats.org/officeDocument/2006/relationships/hyperlink" Id="rId47"/>
    <Relationship TargetMode="External" Target="https://www.legis.iowa.gov/docs/ico/chapter/68B.pdf" Type="http://schemas.openxmlformats.org/officeDocument/2006/relationships/hyperlink" Id="rId48"/>
    <Relationship TargetMode="External" Target="https://www.legis.iowa.gov/docs/ico/chapter/17A.4.pdf" Type="http://schemas.openxmlformats.org/officeDocument/2006/relationships/hyperlink" Id="rId49"/>
    <Relationship TargetMode="External" Target="https://www.legis.iowa.gov/docs/ico/chapter/21.5.pdf" Type="http://schemas.openxmlformats.org/officeDocument/2006/relationships/hyperlink" Id="rId50"/>
    <Relationship TargetMode="External" Target="https://www.legis.iowa.gov/docs/ico/chapter/21.3.pdf" Type="http://schemas.openxmlformats.org/officeDocument/2006/relationships/hyperlink" Id="rId51"/>
    <Relationship TargetMode="External" Target="https://www.legis.iowa.gov/docs/ico/chapter/17A.3.pdf" Type="http://schemas.openxmlformats.org/officeDocument/2006/relationships/hyperlink" Id="rId52"/>
    <Relationship TargetMode="External" Target="https://www.legis.iowa.gov/docs/ico/chapter/17A.pdf" Type="http://schemas.openxmlformats.org/officeDocument/2006/relationships/hyperlink" Id="rId53"/>
    <Relationship TargetMode="External" Target="https://www.legis.iowa.gov/docs/ico/chapter/68B.pdf" Type="http://schemas.openxmlformats.org/officeDocument/2006/relationships/hyperlink" Id="rId54"/>
    <Relationship TargetMode="External" Target="https://www.legis.iowa.gov/docs/iac/rule/351.2.14.pdf" Type="http://schemas.openxmlformats.org/officeDocument/2006/relationships/hyperlink" Id="rId55"/>
    <Relationship TargetMode="External" Target="https://www.legis.iowa.gov/docs/ico/chapter/68A.402.pdf" Type="http://schemas.openxmlformats.org/officeDocument/2006/relationships/hyperlink" Id="rId56"/>
    <Relationship TargetMode="External" Target="www.iowa.gov/ethics" Type="http://schemas.openxmlformats.org/officeDocument/2006/relationships/hyperlink" Id="rId57"/>
    <Relationship TargetMode="External" Target="www.iowa.gov/ethics" Type="http://schemas.openxmlformats.org/officeDocument/2006/relationships/hyperlink" Id="rId58"/>
    <Relationship TargetMode="External" Target="www.iowa.gov/ethics" Type="http://schemas.openxmlformats.org/officeDocument/2006/relationships/hyperlink" Id="rId59"/>
    <Relationship TargetMode="External" Target="https://www.legis.iowa.gov/docs/ico/chapter/68B.36.pdf" Type="http://schemas.openxmlformats.org/officeDocument/2006/relationships/hyperlink" Id="rId60"/>
    <Relationship TargetMode="External" Target="https://www.legis.iowa.gov/docs/ico/chapter/68B.38.pdf" Type="http://schemas.openxmlformats.org/officeDocument/2006/relationships/hyperlink" Id="rId61"/>
    <Relationship TargetMode="External" Target="www.iowa.gov/ethics" Type="http://schemas.openxmlformats.org/officeDocument/2006/relationships/hyperlink" Id="rId62"/>
    <Relationship TargetMode="External" Target="https://www.legis.iowa.gov/docs/ico/chapter/68B.35.pdf" Type="http://schemas.openxmlformats.org/officeDocument/2006/relationships/hyperlink" Id="rId63"/>
    <Relationship TargetMode="External" Target="https://www.legis.iowa.gov/docs/ico/chapter/22.pdf" Type="http://schemas.openxmlformats.org/officeDocument/2006/relationships/hyperlink" Id="rId64"/>
    <Relationship TargetMode="External" Target="https://www.legis.iowa.gov/docs/ico/chapter/68B.32A.pdf" Type="http://schemas.openxmlformats.org/officeDocument/2006/relationships/hyperlink" Id="rId65"/>
    <Relationship TargetMode="External" Target="https://www.legis.iowa.gov/docs/ico/chapter/68A.pdf" Type="http://schemas.openxmlformats.org/officeDocument/2006/relationships/hyperlink" Id="rId66"/>
    <Relationship TargetMode="External" Target="https://www.legis.iowa.gov/docs/ico/chapter/68B.pdf" Type="http://schemas.openxmlformats.org/officeDocument/2006/relationships/hyperlink" Id="rId67"/>
    <Relationship TargetMode="External" Target="https://www.legis.iowa.gov/docs/ico/chapter/8.7.pdf" Type="http://schemas.openxmlformats.org/officeDocument/2006/relationships/hyperlink" Id="rId68"/>
    <Relationship TargetMode="External" Target="https://www.legis.iowa.gov/docs/ico/chapter/68B.pdf" Type="http://schemas.openxmlformats.org/officeDocument/2006/relationships/hyperlink" Id="rId69"/>
    <Relationship TargetMode="External" Target="https://www.legis.iowa.gov/docs/ico/chapter/22.pdf" Type="http://schemas.openxmlformats.org/officeDocument/2006/relationships/hyperlink" Id="rId70"/>
    <Relationship TargetMode="External" Target="https://www.legis.iowa.gov/docs/ico/chapter/68A.pdf" Type="http://schemas.openxmlformats.org/officeDocument/2006/relationships/hyperlink" Id="rId71"/>
    <Relationship TargetMode="External" Target="https://www.legis.iowa.gov/docs/ico/chapter/68B.pdf" Type="http://schemas.openxmlformats.org/officeDocument/2006/relationships/hyperlink" Id="rId7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