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WAIVERS OR VARIANCES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351—15.1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a “waiver” means action by the board that suspends, in whole or in part, the requirements or provisions of a rule as applied to an identified individual, business, organization or person on the basis of the particular circumstances of that individual, business, organization or person. The term “person” shall include any individual or entity subject to the board’s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351—15.2</w:t>
      </w:r>
      <w:r>
        <w:rPr>
          <w:rFonts w:ascii="Times New Roman" w:hAnsi="Times New Roman"/>
          <w:b/>
          <w:i w:val="false"/>
          <w:color w:val="000000"/>
          <w:sz w:val="22"/>
        </w:rPr>
        <w:t xml:space="preserve">(17A,68A,68B)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This chapter outlines generally applicable standards and a uniform process for the granting of individual waivers from rules adopted by the board in situations when no other more specifically applicable law or rule provides for waivers. To the extent another more specific provision of law or rule governs the issuance of a waiver, the more specific provision shall supersede this chapter with respect to any waiver process. A person seeking a waiver of a civil penalty under </w:t>
      </w:r>
      <w:hyperlink r:id="rId5">
        <w:r>
          <w:rPr>
            <w:rStyle w:val="Hyperlink"/>
            <w:rFonts w:ascii="Times New Roman" w:hAnsi="Times New Roman"/>
            <w:b w:val="false"/>
            <w:i w:val="false"/>
            <w:color w:val="000000"/>
            <w:sz w:val="22"/>
          </w:rPr>
          <w:t>rule 351—4.60(68B)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351—7.6(68B)</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351—8.12(68B)</w:t>
        </w:r>
      </w:hyperlink>
      <w:r>
        <w:rPr>
          <w:rFonts w:ascii="Times New Roman" w:hAnsi="Times New Roman"/>
          <w:b w:val="false"/>
          <w:i w:val="false"/>
          <w:color w:val="000000"/>
          <w:sz w:val="22"/>
        </w:rPr>
        <w:t xml:space="preserve"> for the late filing of a report is not required to follow the process set out in this chapter. The person may instead file the waiver request by submitting a Petition for Waiver of Civil Penalty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351—15.3</w:t>
      </w:r>
      <w:r>
        <w:rPr>
          <w:rFonts w:ascii="Times New Roman" w:hAnsi="Times New Roman"/>
          <w:b/>
          <w:i w:val="false"/>
          <w:color w:val="000000"/>
          <w:sz w:val="22"/>
        </w:rPr>
        <w:t xml:space="preserve">(17A,68A,68B)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board may grant a waiver from a rule only if the board has sole jurisdiction over the rule and the requested waiver is consistent with applicable statutes, constitutional provisions or other provisions of law. The board may not waive requirements created or duties imposed by statute or court order.</w:t>
      </w:r>
    </w:p>
    <w:p>
      <w:pPr>
        <w:spacing w:before="0" w:after="0"/>
        <w:ind w:left="120"/>
        <w:jc w:val="both"/>
      </w:pPr>
      <w:r>
        <w:rPr>
          <w:rFonts w:ascii="Times New Roman" w:hAnsi="Times New Roman"/>
          <w:b/>
          <w:i w:val="false"/>
          <w:color w:val="000000"/>
          <w:sz w:val="22"/>
        </w:rPr>
        <w:t>351—15.4</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w:t>
      </w:r>
      <w:hyperlink r:id="rId8">
        <w:r>
          <w:rPr>
            <w:rStyle w:val="Hyperlink"/>
            <w:rFonts w:ascii="Times New Roman" w:hAnsi="Times New Roman"/>
            <w:b w:val="false"/>
            <w:i w:val="false"/>
            <w:color w:val="000000"/>
            <w:sz w:val="22"/>
          </w:rPr>
          <w:t>rule 15.6(17A)</w:t>
        </w:r>
      </w:hyperlink>
      <w:r>
        <w:rPr>
          <w:rFonts w:ascii="Times New Roman" w:hAnsi="Times New Roman"/>
          <w:b w:val="false"/>
          <w:i w:val="false"/>
          <w:color w:val="000000"/>
          <w:sz w:val="22"/>
        </w:rPr>
        <w:t>, the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other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court order;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the public interest will be afforded by a means other than that prescribed in the particular rule for which the waiver is requested.</w:t>
      </w:r>
    </w:p>
    <w:p>
      <w:pPr>
        <w:spacing w:before="210" w:after="0"/>
        <w:ind w:left="120"/>
        <w:jc w:val="both"/>
      </w:pPr>
      <w:r>
        <w:rPr>
          <w:rFonts w:ascii="Times New Roman" w:hAnsi="Times New Roman"/>
          <w:b/>
          <w:i w:val="false"/>
          <w:color w:val="000000"/>
          <w:sz w:val="22"/>
        </w:rPr>
        <w:t>351—15.5</w:t>
      </w:r>
      <w:r>
        <w:rPr>
          <w:rFonts w:ascii="Times New Roman" w:hAnsi="Times New Roman"/>
          <w:b/>
          <w:i w:val="false"/>
          <w:color w:val="000000"/>
          <w:sz w:val="22"/>
        </w:rPr>
        <w:t xml:space="preserve">(17A,68A,68B)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shall be submitted in writing to the Iowa Ethics and Campaign Disclosure Board, 510 East 12th Street, Suite 1A, Des Moines, Iowa 50319. If the request relates to a pending contested case, a copy of the request shall also be filed in the contested case proceeding addressed to the board’s legal counsel at the above address.</w:t>
      </w:r>
    </w:p>
    <w:p>
      <w:pPr>
        <w:spacing w:before="0" w:after="0"/>
        <w:ind w:left="120"/>
        <w:jc w:val="both"/>
      </w:pPr>
      <w:r>
        <w:rPr>
          <w:rFonts w:ascii="Times New Roman" w:hAnsi="Times New Roman"/>
          <w:b/>
          <w:i w:val="false"/>
          <w:color w:val="000000"/>
          <w:sz w:val="22"/>
        </w:rPr>
        <w:t>351—15.6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for whom a waiver is being requested and the case number of any related contested cases, if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the petitioner believes would justify a waiver under each of the four criteria described in </w:t>
      </w:r>
      <w:hyperlink r:id="rId9">
        <w:r>
          <w:rPr>
            <w:rStyle w:val="Hyperlink"/>
            <w:rFonts w:ascii="Times New Roman" w:hAnsi="Times New Roman"/>
            <w:b w:val="false"/>
            <w:i w:val="false"/>
            <w:color w:val="000000"/>
            <w:sz w:val="22"/>
          </w:rPr>
          <w:t>rule 15.4(17A)</w:t>
        </w:r>
      </w:hyperlink>
      <w:r>
        <w:rPr>
          <w:rFonts w:ascii="Times New Roman" w:hAnsi="Times New Roman"/>
          <w:b w:val="false"/>
          <w:i w:val="false"/>
          <w:color w:val="000000"/>
          <w:sz w:val="22"/>
        </w:rPr>
        <w:t>. This shall include a signed statement from the petitioner attesting to the accuracy of the facts provided in the petition and a statement of reasons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contacts between the board and the petitioner within the past five years relating to the activity affected by the proposed waiver. This shall include any notices of violation whether resolved through administration resolution or a contested case proceeding within the past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petitioner regarding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the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facts relevant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authorizing the persons with knowledge regarding the request to furnish the board with information relevant to the proposed waiver.</w:t>
      </w:r>
    </w:p>
    <w:p>
      <w:pPr>
        <w:spacing w:before="210" w:after="0"/>
        <w:ind w:left="120"/>
        <w:jc w:val="both"/>
      </w:pPr>
      <w:r>
        <w:rPr>
          <w:rFonts w:ascii="Times New Roman" w:hAnsi="Times New Roman"/>
          <w:b/>
          <w:i w:val="false"/>
          <w:color w:val="000000"/>
          <w:sz w:val="22"/>
        </w:rPr>
        <w:t>351—15.7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the board.</w:t>
      </w:r>
    </w:p>
    <w:p>
      <w:pPr>
        <w:spacing w:before="210" w:after="0"/>
        <w:ind w:left="120"/>
        <w:jc w:val="both"/>
      </w:pPr>
      <w:r>
        <w:rPr>
          <w:rFonts w:ascii="Times New Roman" w:hAnsi="Times New Roman"/>
          <w:b/>
          <w:i w:val="false"/>
          <w:color w:val="000000"/>
          <w:sz w:val="22"/>
        </w:rPr>
        <w:t>351—15.8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upon receipt. The board shall ensure that, within 30 days of the receipt of the petition, notice of the pendency of the petition and a concise summary of its contents have been provided to all persons to whom notice is required by any provision of law. In addition, the board may give notice to other persons. To accomplish this notice provision, the board may require the petitioner to serve the notice on all persons to whom notice is required by any provision of law and provide a written statement to the board attesting that notice has been provided.</w:t>
      </w:r>
    </w:p>
    <w:p>
      <w:pPr>
        <w:spacing w:before="210" w:after="0"/>
        <w:ind w:left="120"/>
        <w:jc w:val="both"/>
      </w:pPr>
      <w:r>
        <w:rPr>
          <w:rFonts w:ascii="Times New Roman" w:hAnsi="Times New Roman"/>
          <w:b/>
          <w:i w:val="false"/>
          <w:color w:val="000000"/>
          <w:sz w:val="22"/>
        </w:rPr>
        <w:t>351—15.9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 </w:t>
      </w:r>
      <w:hyperlink r:id="rId10">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to 17A.18A regarding contested case proceedings shall apply to any petition for a waiver filed in a contested case. Those provisions shall otherwise apply to board proceedings for a waiver only when the board so provides by rule or order or is required to do so by statute.</w:t>
      </w:r>
    </w:p>
    <w:p>
      <w:pPr>
        <w:spacing w:before="0" w:after="0"/>
        <w:ind w:left="120"/>
        <w:jc w:val="both"/>
      </w:pPr>
      <w:r>
        <w:rPr>
          <w:rFonts w:ascii="Times New Roman" w:hAnsi="Times New Roman"/>
          <w:b/>
          <w:i w:val="false"/>
          <w:color w:val="000000"/>
          <w:sz w:val="22"/>
        </w:rPr>
        <w:t>351—15.10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The order shall include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The board shall evaluate each petition for a waiver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the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these rules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351—15.11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made available for public inspection as provided in Iowa Code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waiver and orders granting or denying waiver petitions are public records under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351—15.12</w:t>
      </w:r>
      <w:r>
        <w:rPr>
          <w:rFonts w:ascii="Times New Roman" w:hAnsi="Times New Roman"/>
          <w:b/>
          <w:i w:val="false"/>
          <w:color w:val="000000"/>
          <w:sz w:val="22"/>
        </w:rPr>
        <w:t xml:space="preserve">(17A) </w:t>
      </w:r>
      <w:r>
        <w:rPr>
          <w:rFonts w:ascii="Times New Roman" w:hAnsi="Times New Roman"/>
          <w:b/>
          <w:i w:val="false"/>
          <w:color w:val="000000"/>
          <w:sz w:val="22"/>
        </w:rPr>
        <w:t xml:space="preserve">Reports. </w:t>
      </w:r>
      <w:r>
        <w:rPr>
          <w:rFonts w:ascii="Times New Roman" w:hAnsi="Times New Roman"/>
          <w:b w:val="false"/>
          <w:i w:val="false"/>
          <w:color w:val="000000"/>
          <w:sz w:val="22"/>
        </w:rPr>
        <w:t>The board shall submit a report identifying the rules for which a waiver has been granted or denied, the number of times a waiver was granted or denied for each rule and a citation to the statutory provisions implemented by the rules. The report shall include a general summary of the reasons justifying the board’s actions on waiver requests and, if practicable, shall detail the extent to which the granting of a waiver has affected the general applicability of the rule itself. This report shall be submitted electronically to the administrative rules coordinator and the administrative rules review committee within 60 days of a waiver being granted or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351—15.13</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 xml:space="preserve">A waiver issued by the board pursuant to this chapter may be withdrawn, canceled or modified if, after appropriate notice and hearing, the board issues an order finding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alternative means of ensuring adequate protection of the public interest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351—15.14</w:t>
      </w:r>
      <w:r>
        <w:rPr>
          <w:rFonts w:ascii="Times New Roman" w:hAnsi="Times New Roman"/>
          <w:b/>
          <w:i w:val="false"/>
          <w:color w:val="000000"/>
          <w:sz w:val="22"/>
        </w:rPr>
        <w:t xml:space="preserve">(17A,68A,68B)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sanctions as a person who violates the rule at issue.</w:t>
      </w:r>
    </w:p>
    <w:p>
      <w:pPr>
        <w:spacing w:before="210" w:after="0"/>
        <w:ind w:left="120"/>
        <w:jc w:val="both"/>
      </w:pPr>
      <w:r>
        <w:rPr>
          <w:rFonts w:ascii="Times New Roman" w:hAnsi="Times New Roman"/>
          <w:b/>
          <w:i w:val="false"/>
          <w:color w:val="000000"/>
          <w:sz w:val="22"/>
        </w:rPr>
        <w:t>351—15.15</w:t>
      </w:r>
      <w:r>
        <w:rPr>
          <w:rFonts w:ascii="Times New Roman" w:hAnsi="Times New Roman"/>
          <w:b/>
          <w:i w:val="false"/>
          <w:color w:val="000000"/>
          <w:sz w:val="22"/>
        </w:rPr>
        <w:t xml:space="preserve">(17A,68A,68B)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for the person to whom the order pertains, within the terms and the specified facts indicated therein, in any proceeding in which the rule in question is sought to be invoked.</w:t>
      </w:r>
    </w:p>
    <w:p>
      <w:pPr>
        <w:spacing w:before="210" w:after="0"/>
        <w:ind w:left="120"/>
        <w:jc w:val="both"/>
      </w:pPr>
      <w:r>
        <w:rPr>
          <w:rFonts w:ascii="Times New Roman" w:hAnsi="Times New Roman"/>
          <w:b/>
          <w:i w:val="false"/>
          <w:color w:val="000000"/>
          <w:sz w:val="22"/>
        </w:rPr>
        <w:t>351—15.16</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Judicial review of a board decision to grant or deny a waiver petition shall be in accordance with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and </w:t>
      </w:r>
      <w:hyperlink r:id="rId16">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8/15/01, Notice 2/21/01—published 9/5/01, effective 10/10/01]</w:t>
      </w:r>
    </w:p>
    <w:p>
      <w:pPr>
        <w:spacing w:before="0" w:after="0"/>
        <w:ind w:left="120"/>
        <w:jc w:val="center"/>
      </w:pPr>
      <w:r>
        <w:rPr>
          <w:rFonts w:ascii="Times New Roman" w:hAnsi="Times New Roman"/>
          <w:b w:val="false"/>
          <w:i w:val="false"/>
          <w:color w:val="000000"/>
          <w:sz w:val="21"/>
        </w:rPr>
        <w:t>[Filed 1/28/05, Notice 11/10/04—published 2/16/05, effective 3/23/05]</w:t>
      </w:r>
    </w:p>
    <w:p>
      <w:pPr>
        <w:spacing w:before="0" w:after="0"/>
        <w:ind w:left="120"/>
        <w:jc w:val="center"/>
      </w:pPr>
      <w:r>
        <w:rPr>
          <w:rFonts w:ascii="Times New Roman" w:hAnsi="Times New Roman"/>
          <w:b w:val="false"/>
          <w:i w:val="false"/>
          <w:color w:val="000000"/>
          <w:sz w:val="21"/>
        </w:rPr>
        <w:t>[Filed ARC 7996B</w:t>
      </w:r>
      <w:r>
        <w:rPr>
          <w:rFonts w:ascii="Times New Roman" w:hAnsi="Times New Roman"/>
          <w:b w:val="false"/>
          <w:i w:val="false"/>
          <w:color w:val="000000"/>
          <w:sz w:val="21"/>
        </w:rPr>
        <w:t xml:space="preserve"> (Notice ARC 7805B,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351.4.60.pdf" Type="http://schemas.openxmlformats.org/officeDocument/2006/relationships/hyperlink" Id="rId5"/>
    <Relationship TargetMode="External" Target="https://www.legis.iowa.gov/docs/iac/rule/351.7.6.pdf" Type="http://schemas.openxmlformats.org/officeDocument/2006/relationships/hyperlink" Id="rId6"/>
    <Relationship TargetMode="External" Target="https://www.legis.iowa.gov/docs/iac/rule/351.8.12.pdf" Type="http://schemas.openxmlformats.org/officeDocument/2006/relationships/hyperlink" Id="rId7"/>
    <Relationship TargetMode="External" Target="https://www.legis.iowa.gov/docs/iac/rule/351.15.6.pdf" Type="http://schemas.openxmlformats.org/officeDocument/2006/relationships/hyperlink" Id="rId8"/>
    <Relationship TargetMode="External" Target="https://www.legis.iowa.gov/docs/iac/rule/351.15.4.pdf" Type="http://schemas.openxmlformats.org/officeDocument/2006/relationships/hyperlink" Id="rId9"/>
    <Relationship TargetMode="External" Target="https://www.legis.iowa.gov/docs/ico/chapter/17A.10.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68A.pdf" Type="http://schemas.openxmlformats.org/officeDocument/2006/relationships/hyperlink" Id="rId15"/>
    <Relationship TargetMode="External" Target="https://www.legis.iowa.gov/docs/ico/chapter/68B.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