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BOARD 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351—14.1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board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351—14.2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board may, before publication of a Notice of Intended Action under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by causing notice to be published in the Iowa Administrative Bulletin. Notice shall include the subject matter and indicate where, when, and how persons may comment.</w:t>
      </w:r>
    </w:p>
    <w:p>
      <w:pPr>
        <w:spacing w:before="0" w:after="0"/>
        <w:ind w:left="120"/>
        <w:jc w:val="both"/>
      </w:pPr>
      <w:r>
        <w:rPr>
          <w:rFonts w:ascii="Times New Roman" w:hAnsi="Times New Roman"/>
          <w:b/>
          <w:i w:val="false"/>
          <w:color w:val="000000"/>
          <w:sz w:val="22"/>
        </w:rPr>
        <w:t>351—14.3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board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docket shall list each anticipated rule-making proceeding. A proceeding is deemed “anticipated” from the time a draft of proposed rules is distributed for review by the board. The docket shall contain a listing of the precise subject matter that may be submitted for consideration by the board for subsequent proposal under the provisions of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the board’s rules administrator with whom persons may communicate with respect to the matter, and an indication of the present status within the board of that possible rule. The board may also include in the docket other subjects for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The docket shall list each pending rule-making proceeding. A proceeding is pending from the time it is commenced by publication in the Iowa Administrative Bulletin of a Notice of Intended Action to the time it is terminated by publication of a Notice of Termination in the Iowa Administrative Bulletin or the rule’s becoming effective. For each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board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board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351—14.4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board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board shall include in the notice a statement fully describing the specific subject matter of the omitted portion of the text of the proposed rule, the specific issues to be addressed by that omitted text of the proposed rule, and the range of possible choices being considered by the board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that are contained in </w:t>
      </w:r>
      <w:hyperlink r:id="rId8">
        <w:r>
          <w:rPr>
            <w:rStyle w:val="Hyperlink"/>
            <w:rFonts w:ascii="Times New Roman" w:hAnsi="Times New Roman"/>
            <w:b w:val="false"/>
            <w:i w:val="false"/>
            <w:color w:val="000000"/>
            <w:sz w:val="22"/>
          </w:rPr>
          <w:t>subrule 14.12(2)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board a written request indicating the name and address to which such notices should be sent. Within seven days after submission of a Notice of Intended Action to the administrative rules coordinator for publication in the Iowa Administrative Bulletin, the board shall mail or electronically transmit a copy of that notice to subscribers who have filed a written request for either mailing or electronic transmittal with the board for Notices of Intended Action. The request shall be accompanied by payment of the subscription price which may cover the full cost of the subscription service, including its administrative overhead and the cost of copying and mailing the Notices of Intended Action for a period of one year.</w:t>
      </w:r>
    </w:p>
    <w:p>
      <w:pPr>
        <w:spacing w:before="0" w:after="0"/>
        <w:ind w:left="120"/>
        <w:jc w:val="both"/>
      </w:pPr>
      <w:r>
        <w:rPr>
          <w:rFonts w:ascii="Times New Roman" w:hAnsi="Times New Roman"/>
          <w:b/>
          <w:i w:val="false"/>
          <w:color w:val="000000"/>
          <w:sz w:val="22"/>
        </w:rPr>
        <w:t>351—14.5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and should be submitted to the board’s rules administrator at 510 East 12th Street, Suite 1A, Des Moines, Iowa 50319,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board may schedule an oral proceeding on a proposed rule. The board shall schedule an oral proceeding on a proposed rule if, within 20 days after the published Notice of Intended Action, a written request for an opportunity to make oral presentations is submitted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9">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A member of the board or the board’s executive director shall preside at the oral proceeding on a proposed rule. The presiding officer and the board’s executive director shall jointly prepare a memorandum for consideration by the board summarizing the contents of the presentations made at the oral proceeding. This memorandum shall not be prepared if the board determines that such a memorandum is unnecessary because the board members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including data, views, comments or arguments concerning the proposed rule. Persons wishing to make oral presentations at such a proceeding are encouraged to notify the board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board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that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when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The presiding officer in an oral proceeding may question participants and permit the questioning of participants by other participants about any matter relating to that rule-making proceeding, including any prior written submissions made by those participants in that proceeding. However,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board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board shall schedule oral proceedings in rooms accessible to and functional for persons with physical disabilities. Persons who have special requirements should contact the board’s executive director at (515)281-3489 in advance to arrange access or other needed services.</w:t>
      </w:r>
    </w:p>
    <w:p>
      <w:pPr>
        <w:spacing w:before="0" w:after="0"/>
        <w:ind w:left="120"/>
        <w:jc w:val="both"/>
      </w:pPr>
      <w:r>
        <w:rPr>
          <w:rFonts w:ascii="Times New Roman" w:hAnsi="Times New Roman"/>
          <w:b/>
          <w:i w:val="false"/>
          <w:color w:val="000000"/>
          <w:sz w:val="22"/>
        </w:rPr>
        <w:t>351—14.6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10">
        <w:r>
          <w:rPr>
            <w:rStyle w:val="Hyperlink"/>
            <w:rFonts w:ascii="Times New Roman" w:hAnsi="Times New Roman"/>
            <w:b w:val="false"/>
            <w:i w:val="false"/>
            <w:color w:val="000000"/>
            <w:sz w:val="22"/>
          </w:rPr>
          <w:t>17A.4A(7)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board’s small business impact list by making a written application addressed to the board’s executive director.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board may at any time request additional information from the applicant to determine whether the applicant is qualified as a small business or as an organization of 25 or more small businesses. The board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board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1">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board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board shall issue a regulatory analysis of a proposed rule that conforms to the requirements of Iowa Code section </w:t>
      </w:r>
      <w:hyperlink r:id="rId12">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board shall issue a regulatory analysis of a proposed rule that conforms to the requirements of Iowa Code section </w:t>
      </w:r>
      <w:hyperlink r:id="rId13">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each represent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board shall adhere to the time lines described in Iowa Code section </w:t>
      </w:r>
      <w:hyperlink r:id="rId14">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board. The request shall be in writing and satisfy the requirements of Iowa Code section </w:t>
      </w:r>
      <w:hyperlink r:id="rId15">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 </w:t>
      </w:r>
      <w:hyperlink r:id="rId16">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board shall make available, to the maximum extent feasible, copies of the published summary in conformance with Iowa Code section </w:t>
      </w:r>
      <w:hyperlink r:id="rId17">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18">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19">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351—14.7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that contract with political subdivisions to provide services must be accompanied by a fiscal impact statement outlining the costs associated with the rule. A fiscal impact statement must satisfy the requirements of Iowa Code section </w:t>
      </w:r>
      <w:hyperlink r:id="rId20">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at the time it adopts a rule that the fiscal impact statement upon which the rule is based contains errors, the board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351—14.8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board shall not adopt a rule until the period for making written submissions and oral presentations has expired. Within 180 days after the later of the publication of the Notice of Intended Action, or the end of oral proceedings thereon, the board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board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14.8(3)</w:t>
      </w:r>
      <w:r>
        <w:rPr>
          <w:rFonts w:ascii="Times New Roman" w:hAnsi="Times New Roman"/>
          <w:b w:val="false"/>
          <w:i w:val="false"/>
          <w:color w:val="000000"/>
          <w:sz w:val="22"/>
        </w:rPr>
        <w:t> </w:t>
      </w:r>
      <w:r>
        <w:rPr>
          <w:rFonts w:ascii="Times New Roman" w:hAnsi="Times New Roman"/>
          <w:b w:val="false"/>
          <w:i/>
          <w:color w:val="000000"/>
          <w:sz w:val="22"/>
        </w:rPr>
        <w:t xml:space="preserve">Reliance on board expertise. </w:t>
      </w:r>
      <w:r>
        <w:rPr>
          <w:rFonts w:ascii="Times New Roman" w:hAnsi="Times New Roman"/>
          <w:b w:val="false"/>
          <w:i w:val="false"/>
          <w:color w:val="000000"/>
          <w:sz w:val="22"/>
        </w:rPr>
        <w:t>Except as otherwise provided by law, the board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351—14.9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val="false"/>
          <w:color w:val="000000"/>
          <w:sz w:val="22"/>
        </w:rPr>
        <w:t>The board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board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w:t>
      </w:r>
      <w:r>
        <w:rPr>
          <w:rFonts w:ascii="Times New Roman" w:hAnsi="Times New Roman"/>
          <w:b w:val="false"/>
          <w:i w:val="false"/>
          <w:color w:val="000000"/>
          <w:sz w:val="22"/>
        </w:rPr>
        <w:t> </w:t>
      </w:r>
      <w:r>
        <w:rPr>
          <w:rFonts w:ascii="Times New Roman" w:hAnsi="Times New Roman"/>
          <w:b w:val="false"/>
          <w:i w:val="false"/>
          <w:color w:val="000000"/>
          <w:sz w:val="22"/>
        </w:rPr>
        <w:t>The board shall commence a rule-making proceeding within 60 days of its receipt of a petition seeking the amendment or repeal of a rule that differs from the proposed rule contained in the Notice of Intended Action, unless the board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board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351—14.10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board for good cause finds that public notice and participation are unnecessary, impracticable, or contrary to the public interest in the process of adopting a rule, the board may adopt that rule without publishing advance Notice of Intended Action in the Iowa Administrative Bulletin and without providing for written or oral public submissions prior to its adoption. The board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board may, at any time, commence a standard rule-making proceeding for the adoption of a rule that is identical or similar to a rule it adopts in reliance upon </w:t>
      </w:r>
      <w:hyperlink r:id="rId21">
        <w:r>
          <w:rPr>
            <w:rStyle w:val="Hyperlink"/>
            <w:rFonts w:ascii="Times New Roman" w:hAnsi="Times New Roman"/>
            <w:b w:val="false"/>
            <w:i w:val="false"/>
            <w:color w:val="000000"/>
            <w:sz w:val="22"/>
          </w:rPr>
          <w:t>subrule 14.10(1)</w:t>
        </w:r>
      </w:hyperlink>
      <w:r>
        <w:rPr>
          <w:rFonts w:ascii="Times New Roman" w:hAnsi="Times New Roman"/>
          <w:b w:val="false"/>
          <w:i w:val="false"/>
          <w:color w:val="000000"/>
          <w:sz w:val="22"/>
        </w:rPr>
        <w:t xml:space="preserve">. Upon written petition by a governmental subdivision, the administrative rules review committee, the administrative rules coordinator, an association having not less than 25 members, or at least 25 persons, the board shall commence a standard rule-making proceeding for any rule specified in the petition that was adopted in reliance upon </w:t>
      </w:r>
      <w:hyperlink r:id="rId22">
        <w:r>
          <w:rPr>
            <w:rStyle w:val="Hyperlink"/>
            <w:rFonts w:ascii="Times New Roman" w:hAnsi="Times New Roman"/>
            <w:b w:val="false"/>
            <w:i w:val="false"/>
            <w:color w:val="000000"/>
            <w:sz w:val="22"/>
          </w:rPr>
          <w:t>subrule 14.10(1)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board may either readopt the rule it adopted without benefit of all usual procedures on the basis of </w:t>
      </w:r>
      <w:hyperlink r:id="rId23">
        <w:r>
          <w:rPr>
            <w:rStyle w:val="Hyperlink"/>
            <w:rFonts w:ascii="Times New Roman" w:hAnsi="Times New Roman"/>
            <w:b w:val="false"/>
            <w:i w:val="false"/>
            <w:color w:val="000000"/>
            <w:sz w:val="22"/>
          </w:rPr>
          <w:t>subrule 14.10(1)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351—14.11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board shall issue a concise statement of reasons for the rule. Requests for such a statement must be in writing and be delivered to the board’s agency rules administrator at 510 East 12th Street, Suite 1A, Des Moines, Iowa 50319.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board’s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board shall issue a concise statement of reasons by the later of the time the rule is adopted or 35 days after receipt of the request.</w:t>
      </w:r>
    </w:p>
    <w:p>
      <w:pPr>
        <w:spacing w:before="0" w:after="0"/>
        <w:ind w:left="120"/>
        <w:jc w:val="both"/>
      </w:pPr>
      <w:r>
        <w:rPr>
          <w:rFonts w:ascii="Times New Roman" w:hAnsi="Times New Roman"/>
          <w:b/>
          <w:i w:val="false"/>
          <w:color w:val="000000"/>
          <w:sz w:val="22"/>
        </w:rPr>
        <w:t>351—14.12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board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board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2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or the board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2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or the board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board may incorporate by reference in a proposed or adopted rule, and without causing publication of the incorporated matter in full, all or any part of a code, standard, rule, or other matter if the board finds that the incorporation of its text in the board’s proposed or adopted rule would be unduly cumbersome, expensive, or otherwise inexpedient. The reference in the board’s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board may incorporate such matter by reference in a proposed or adopted rule only if the board makes copies of it readily available to the public. The rule shall state how and where copies of the incorporated matter may be obtained at cost from this board, and how and where copies may be obtained from the agency of the United States, this state, another state, or the organization, association, or persons, originally issuing that matter. The board shall retain permanently a copy of any materials incorporated by reference in a rule of the board.</w:t>
      </w:r>
    </w:p>
    <w:p>
      <w:pPr>
        <w:spacing w:before="0" w:after="0"/>
        <w:ind w:left="120"/>
        <w:jc w:val="both"/>
      </w:pPr>
      <w:r>
        <w:rPr>
          <w:rFonts w:ascii="Times New Roman" w:hAnsi="Times New Roman"/>
          <w:b w:val="false"/>
          <w:i w:val="false"/>
          <w:color w:val="000000"/>
          <w:sz w:val="22"/>
        </w:rPr>
        <w:t>If the board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board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board. The board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board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board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351—14.13</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board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board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board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board’s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board, and all other written materials of a factual nature as distinguished from opinion that are relevant to the merits of the rule and that were created or compiled by the board and considered by the board, in connection with the formulation, proposal, or adoption of the rule or the proceeding upon which the rule is based, except to the extent the board is authorized by law to keep them confidential; provided, however, that when any such materials are deleted because they are authorized by law to be kept confidential, the board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26">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27">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board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board rule-making record required by this rule need not constitute the exclusive basis for board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board shall maintain the rule-making record for a period of not less than five years from the later of the date the rule to which it pertains became effective, the date of the Notice of Intended Action, or the date of any written criticism as described in </w:t>
      </w:r>
      <w:hyperlink r:id="rId28">
        <w:r>
          <w:rPr>
            <w:rStyle w:val="Hyperlink"/>
            <w:rFonts w:ascii="Times New Roman" w:hAnsi="Times New Roman"/>
            <w:b w:val="false"/>
            <w:i w:val="false"/>
            <w:color w:val="000000"/>
            <w:sz w:val="22"/>
          </w:rPr>
          <w:t>14.13(2)</w:t>
        </w:r>
      </w:hyperlink>
      <w:r>
        <w:rPr>
          <w:rFonts w:ascii="Times New Roman" w:hAnsi="Times New Roman"/>
          <w:b w:val="false"/>
          <w:i/>
          <w:color w:val="000000"/>
          <w:sz w:val="22"/>
        </w:rPr>
        <w:t xml:space="preserve">“g,” “h,” “i,” </w:t>
      </w:r>
      <w:r>
        <w:rPr>
          <w:rFonts w:ascii="Times New Roman" w:hAnsi="Times New Roman"/>
          <w:b w:val="false"/>
          <w:i w:val="false"/>
          <w:color w:val="000000"/>
          <w:sz w:val="22"/>
        </w:rPr>
        <w:t xml:space="preserve">or </w:t>
      </w:r>
      <w:r>
        <w:rPr>
          <w:rFonts w:ascii="Times New Roman" w:hAnsi="Times New Roman"/>
          <w:b w:val="false"/>
          <w:i/>
          <w:color w:val="000000"/>
          <w:sz w:val="22"/>
        </w:rPr>
        <w:t>“j.”</w:t>
      </w:r>
    </w:p>
    <w:p>
      <w:pPr>
        <w:spacing w:before="210" w:after="0"/>
        <w:ind w:left="120"/>
        <w:jc w:val="both"/>
      </w:pPr>
      <w:r>
        <w:rPr>
          <w:rFonts w:ascii="Times New Roman" w:hAnsi="Times New Roman"/>
          <w:b/>
          <w:i w:val="false"/>
          <w:color w:val="000000"/>
          <w:sz w:val="22"/>
        </w:rPr>
        <w:t>351—14.14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board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board shall use the standard form prescribed by the administrative rules coordinator.</w:t>
      </w:r>
    </w:p>
    <w:p>
      <w:pPr>
        <w:spacing w:before="0" w:after="0"/>
        <w:ind w:left="120"/>
        <w:jc w:val="both"/>
      </w:pPr>
      <w:r>
        <w:rPr>
          <w:rFonts w:ascii="Times New Roman" w:hAnsi="Times New Roman"/>
          <w:b/>
          <w:i w:val="false"/>
          <w:color w:val="000000"/>
          <w:sz w:val="22"/>
        </w:rPr>
        <w:t>351—14.15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board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board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board makes a rule effective prior to its indexing and publication in reliance upon the provisions of Iowa Code section </w:t>
      </w:r>
      <w:hyperlink r:id="rId29">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board shall employ all reasonable efforts to make its contents known to the persons who may be affected by that rule prior to the rule’s indexing and publication. The term “all reasonable efforts” requires the board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board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0">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w:t>
      </w:r>
      <w:hyperlink r:id="rId31">
        <w:r>
          <w:rPr>
            <w:rStyle w:val="Hyperlink"/>
            <w:rFonts w:ascii="Times New Roman" w:hAnsi="Times New Roman"/>
            <w:b w:val="false"/>
            <w:i w:val="false"/>
            <w:color w:val="000000"/>
            <w:sz w:val="22"/>
          </w:rPr>
          <w:t>subrule 14.15(2)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351—14.16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board shall maintain an official, current, and dated compilation that is indexed by subject, containing all of its general statements of policy within the scope of Iowa Code section </w:t>
      </w:r>
      <w:hyperlink r:id="rId32">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 xml:space="preserve">“a,” “c,” “f,” “g,” “h,” “k.” </w:t>
      </w:r>
      <w:r>
        <w:rPr>
          <w:rFonts w:ascii="Times New Roman" w:hAnsi="Times New Roman"/>
          <w:b w:val="false"/>
          <w:i w:val="false"/>
          <w:color w:val="000000"/>
          <w:sz w:val="22"/>
        </w:rPr>
        <w:t xml:space="preserve">Each addition to, change in, or deletion from the official compilation must also be dated, indexed, and a record thereof kept. Except for those portions containing rules governed by Iowa Code section </w:t>
      </w:r>
      <w:hyperlink r:id="rId33">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 xml:space="preserve">“f,” </w:t>
      </w:r>
      <w:r>
        <w:rPr>
          <w:rFonts w:ascii="Times New Roman" w:hAnsi="Times New Roman"/>
          <w:b w:val="false"/>
          <w:i w:val="false"/>
          <w:color w:val="000000"/>
          <w:sz w:val="22"/>
        </w:rPr>
        <w:t>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board to the detriment of any person who does not have actual, timely knowledge of the contents of the statement until the requirements of </w:t>
      </w:r>
      <w:hyperlink r:id="rId34">
        <w:r>
          <w:rPr>
            <w:rStyle w:val="Hyperlink"/>
            <w:rFonts w:ascii="Times New Roman" w:hAnsi="Times New Roman"/>
            <w:b w:val="false"/>
            <w:i w:val="false"/>
            <w:color w:val="000000"/>
            <w:sz w:val="22"/>
          </w:rPr>
          <w:t>subrule 14.16(1)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351—14.17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board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board to conduct a formal review of a specified rule. Upon approval of that request by the administrative rules coordinator, the board shall conduct a formal review of the rule to determine whether a new rule should be adopted or the rule should be amended or repealed. The board may refuse to conduct a review if it has conducted such a review of the rule within five years prior to the filing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board shall prepare a written report summarizing its findings, its supporting reasons, and any proposed course of action. The report shall include a concise statement of the board’s findings regarding the rule’s effectiveness in achieving its objectives, including a summary of any available supporting data. The report shall also describe significant written criticisms of the rule received during the previous five years, including a summary of any petitions for waiver of the rule received by the board or granted by the board. The report shall describe alternative solutions to resolve the criticisms of the rule, the reasons any were rejected, and any changes made in the rule in response to the criticisms as well as the reasons for the changes. A copy of the board’s report shall be sent to the administrative rules review committee and the administrative rules coordinator and shall be available to the public.</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5/28/99, Notice 3/24/99—published 6/16/99, effective 7/21/99]</w:t>
      </w:r>
    </w:p>
    <w:p>
      <w:pPr>
        <w:spacing w:before="0" w:after="0"/>
        <w:ind w:left="120"/>
        <w:jc w:val="center"/>
      </w:pPr>
      <w:r>
        <w:rPr>
          <w:rFonts w:ascii="Times New Roman" w:hAnsi="Times New Roman"/>
          <w:b w:val="false"/>
          <w:i w:val="false"/>
          <w:color w:val="000000"/>
          <w:sz w:val="21"/>
        </w:rPr>
        <w:t>[Filed 8/30/02, Notice 7/10/02—published 9/18/02, effective 10/23/02]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ac/rule/351.14.12.pdf" Type="http://schemas.openxmlformats.org/officeDocument/2006/relationships/hyperlink" Id="rId8"/>
    <Relationship TargetMode="External" Target="https://www.legis.iowa.gov/docs/ico/chapter/17A.4.pdf" Type="http://schemas.openxmlformats.org/officeDocument/2006/relationships/hyperlink" Id="rId9"/>
    <Relationship TargetMode="External" Target="https://www.legis.iowa.gov/docs/ico/chapter/17A.4A.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17A.4A.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A.pdf" Type="http://schemas.openxmlformats.org/officeDocument/2006/relationships/hyperlink" Id="rId19"/>
    <Relationship TargetMode="External" Target="https://www.legis.iowa.gov/docs/ico/chapter/25B.6.pdf" Type="http://schemas.openxmlformats.org/officeDocument/2006/relationships/hyperlink" Id="rId20"/>
    <Relationship TargetMode="External" Target="https://www.legis.iowa.gov/docs/iac/rule/351.14.10.pdf" Type="http://schemas.openxmlformats.org/officeDocument/2006/relationships/hyperlink" Id="rId21"/>
    <Relationship TargetMode="External" Target="https://www.legis.iowa.gov/docs/iac/rule/351.14.10.pdf" Type="http://schemas.openxmlformats.org/officeDocument/2006/relationships/hyperlink" Id="rId22"/>
    <Relationship TargetMode="External" Target="https://www.legis.iowa.gov/docs/iac/rule/351.14.10.pdf" Type="http://schemas.openxmlformats.org/officeDocument/2006/relationships/hyperlink" Id="rId23"/>
    <Relationship TargetMode="External" Target="https://www.legis.iowa.gov/docs/ico/chapter/17A.4.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17A.4.pdf" Type="http://schemas.openxmlformats.org/officeDocument/2006/relationships/hyperlink" Id="rId26"/>
    <Relationship TargetMode="External" Target="https://www.legis.iowa.gov/docs/ico/chapter/17A.4.pdf" Type="http://schemas.openxmlformats.org/officeDocument/2006/relationships/hyperlink" Id="rId27"/>
    <Relationship TargetMode="External" Target="https://www.legis.iowa.gov/docs/iac/rule/351.14.13.pdf" Type="http://schemas.openxmlformats.org/officeDocument/2006/relationships/hyperlink" Id="rId28"/>
    <Relationship TargetMode="External" Target="https://www.legis.iowa.gov/docs/ico/chapter/17A.5.pdf" Type="http://schemas.openxmlformats.org/officeDocument/2006/relationships/hyperlink" Id="rId29"/>
    <Relationship TargetMode="External" Target="https://www.legis.iowa.gov/docs/ico/chapter/17A.5.pdf" Type="http://schemas.openxmlformats.org/officeDocument/2006/relationships/hyperlink" Id="rId30"/>
    <Relationship TargetMode="External" Target="https://www.legis.iowa.gov/docs/iac/rule/351.14.15.pdf" Type="http://schemas.openxmlformats.org/officeDocument/2006/relationships/hyperlink" Id="rId31"/>
    <Relationship TargetMode="External" Target="https://www.legis.iowa.gov/docs/ico/chapter/17A.2.pdf" Type="http://schemas.openxmlformats.org/officeDocument/2006/relationships/hyperlink" Id="rId32"/>
    <Relationship TargetMode="External" Target="https://www.legis.iowa.gov/docs/ico/chapter/17A.2.pdf" Type="http://schemas.openxmlformats.org/officeDocument/2006/relationships/hyperlink" Id="rId33"/>
    <Relationship TargetMode="External" Target="https://www.legis.iowa.gov/docs/iac/rule/351.14.16.pdf" Type="http://schemas.openxmlformats.org/officeDocument/2006/relationships/hyperlink" Id="rId34"/>
    <Relationship TargetMode="External" Target="https://www.legis.iowa.gov/docs/ico/chapter/17A.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