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3/30/94, Campaign Finance Disclosure Commission[121] Ch 9]</w:t>
      </w:r>
    </w:p>
    <w:p>
      <w:pPr>
        <w:spacing w:before="0" w:after="0"/>
        <w:ind w:left="120"/>
        <w:jc w:val="center"/>
      </w:pPr>
      <w:r>
        <w:rPr>
          <w:rFonts w:ascii="Times New Roman" w:hAnsi="Times New Roman"/>
          <w:b w:val="false"/>
          <w:i w:val="false"/>
          <w:color w:val="000000"/>
          <w:sz w:val="14"/>
        </w:rPr>
        <w:t>[Prior to 9/17/03, see 351—Ch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351—12.1</w:t>
      </w:r>
      <w:r>
        <w:rPr>
          <w:rFonts w:ascii="Times New Roman" w:hAnsi="Times New Roman"/>
          <w:b/>
          <w:i w:val="false"/>
          <w:color w:val="000000"/>
          <w:sz w:val="22"/>
        </w:rPr>
        <w:t xml:space="preserve">(17A,68B)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person may file a petition with the board for a declaratory order concerning the applicability of any statute, rule, policy, decision, or order within the primary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 petition for a declaratory order shall be filed with the board at 510 East 12th Street, Suite 1A, Des Moines, Iowa 50319. A petition may also be filed by fax at (515)281-3701. A copy of the petition and any supporting documents shall be filed with any party of record to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Petition deemed filed. </w:t>
      </w:r>
      <w:r>
        <w:rPr>
          <w:rFonts w:ascii="Times New Roman" w:hAnsi="Times New Roman"/>
          <w:b w:val="false"/>
          <w:i w:val="false"/>
          <w:color w:val="000000"/>
          <w:sz w:val="22"/>
        </w:rPr>
        <w:t>A petition is deemed filed when it is received by the board. The board shall provide the petitioner with a file-stamped copy of the petition if the petitioner provides the board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Form of petition. </w:t>
      </w:r>
      <w:r>
        <w:rPr>
          <w:rFonts w:ascii="Times New Roman" w:hAnsi="Times New Roman"/>
          <w:b w:val="false"/>
          <w:i w:val="false"/>
          <w:color w:val="000000"/>
          <w:sz w:val="22"/>
        </w:rPr>
        <w:t>The petition shall be typewritten or legibly handwritten in ink and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document is a petition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are pending determination,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351—12.6(17A,68B)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petitioner and petitioner’s representative if there is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The petition shall be dated and signed by the petitioner or the petitioner’s representative.</w:t>
      </w:r>
    </w:p>
    <w:p>
      <w:pPr>
        <w:spacing w:before="210" w:after="0"/>
        <w:ind w:left="120"/>
        <w:jc w:val="both"/>
      </w:pPr>
      <w:r>
        <w:rPr>
          <w:rFonts w:ascii="Times New Roman" w:hAnsi="Times New Roman"/>
          <w:b/>
          <w:i w:val="false"/>
          <w:color w:val="000000"/>
          <w:sz w:val="22"/>
        </w:rPr>
        <w:t>351—12.2</w:t>
      </w:r>
      <w:r>
        <w:rPr>
          <w:rFonts w:ascii="Times New Roman" w:hAnsi="Times New Roman"/>
          <w:b/>
          <w:i w:val="false"/>
          <w:color w:val="000000"/>
          <w:sz w:val="22"/>
        </w:rPr>
        <w:t xml:space="preserve">(17A,68B)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position urged in the petition. The board may request a brief from the petitioner or from any other person concerning the questions raised in the petition. A requested brief shall be filed within ten days of receipt of notice from the board.</w:t>
      </w:r>
    </w:p>
    <w:p>
      <w:pPr>
        <w:spacing w:before="210" w:after="0"/>
        <w:ind w:left="120"/>
        <w:jc w:val="both"/>
      </w:pPr>
      <w:r>
        <w:rPr>
          <w:rFonts w:ascii="Times New Roman" w:hAnsi="Times New Roman"/>
          <w:b/>
          <w:i w:val="false"/>
          <w:color w:val="000000"/>
          <w:sz w:val="22"/>
        </w:rPr>
        <w:t>351—12.3</w:t>
      </w:r>
      <w:r>
        <w:rPr>
          <w:rFonts w:ascii="Times New Roman" w:hAnsi="Times New Roman"/>
          <w:b/>
          <w:i w:val="false"/>
          <w:color w:val="000000"/>
          <w:sz w:val="22"/>
        </w:rPr>
        <w:t xml:space="preserve">(17A,68B)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Within ten days after receipt of a petition for a declaratory order, the board shall give notice of the petition to all persons not served by the petitioner to whom notice is required by any provision of law. The board may also give notice to any other persons.</w:t>
      </w:r>
    </w:p>
    <w:p>
      <w:pPr>
        <w:spacing w:before="0" w:after="0"/>
        <w:ind w:left="120"/>
        <w:jc w:val="both"/>
      </w:pPr>
      <w:r>
        <w:rPr>
          <w:rFonts w:ascii="Times New Roman" w:hAnsi="Times New Roman"/>
          <w:b/>
          <w:i w:val="false"/>
          <w:color w:val="000000"/>
          <w:sz w:val="22"/>
        </w:rPr>
        <w:t>351—12.4</w:t>
      </w:r>
      <w:r>
        <w:rPr>
          <w:rFonts w:ascii="Times New Roman" w:hAnsi="Times New Roman"/>
          <w:b/>
          <w:i w:val="false"/>
          <w:color w:val="000000"/>
          <w:sz w:val="22"/>
        </w:rPr>
        <w:t xml:space="preserve">(17A,68B)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Who may intervene. </w:t>
      </w:r>
      <w:r>
        <w:rPr>
          <w:rFonts w:ascii="Times New Roman" w:hAnsi="Times New Roman"/>
          <w:b w:val="false"/>
          <w:i w:val="false"/>
          <w:color w:val="000000"/>
          <w:sz w:val="22"/>
        </w:rPr>
        <w:t>Persons who qualify under any applicable provision of law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A person who files a petition for intervention at any time prior to the issuance of an order may be allowed to intervene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 petition for intervention shall be filed with the board at 510 East 12th Street, Suite 1A, Des Moines, Iowa 50319. The petition may also be filed by fax at (515)281-3701. The board shall provide the intervenor with a file-stamped copy of the petition for intervention if the intervenor provides an extra copy for this purpose. The intervenor shall also file a copy of the petition for intervention and any supporting documents with the person who filed the petition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Form of petition. </w:t>
      </w:r>
      <w:r>
        <w:rPr>
          <w:rFonts w:ascii="Times New Roman" w:hAnsi="Times New Roman"/>
          <w:b w:val="false"/>
          <w:i w:val="false"/>
          <w:color w:val="000000"/>
          <w:sz w:val="22"/>
        </w:rPr>
        <w:t>The petition for intervention shall be typewritten or legibly handwritten in ink and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document is a petition for intervention and a reference to the original petition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are pending determination,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intervenor and the intervenor’s representative if there is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person to whom communications concerning the petition for intervention should be directed.</w:t>
      </w:r>
    </w:p>
    <w:p>
      <w:pPr>
        <w:spacing w:before="210" w:after="0"/>
        <w:ind w:left="120"/>
        <w:jc w:val="both"/>
      </w:pPr>
      <w:r>
        <w:rPr>
          <w:rFonts w:ascii="Times New Roman" w:hAnsi="Times New Roman"/>
          <w:b/>
          <w:i w:val="false"/>
          <w:color w:val="000000"/>
          <w:sz w:val="22"/>
        </w:rPr>
        <w:t>351—12.5</w:t>
      </w:r>
      <w:r>
        <w:rPr>
          <w:rFonts w:ascii="Times New Roman" w:hAnsi="Times New Roman"/>
          <w:b/>
          <w:i w:val="false"/>
          <w:color w:val="000000"/>
          <w:sz w:val="22"/>
        </w:rPr>
        <w:t xml:space="preserve">(17A,68B)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a declaratory order may be made to the board at 510 East 12th Street, Suite 1A, Des Moines, Iowa 50319.</w:t>
      </w:r>
    </w:p>
    <w:p>
      <w:pPr>
        <w:spacing w:before="210" w:after="0"/>
        <w:ind w:left="120"/>
        <w:jc w:val="both"/>
      </w:pPr>
      <w:r>
        <w:rPr>
          <w:rFonts w:ascii="Times New Roman" w:hAnsi="Times New Roman"/>
          <w:b/>
          <w:i w:val="false"/>
          <w:color w:val="000000"/>
          <w:sz w:val="22"/>
        </w:rPr>
        <w:t>351—12.6</w:t>
      </w:r>
      <w:r>
        <w:rPr>
          <w:rFonts w:ascii="Times New Roman" w:hAnsi="Times New Roman"/>
          <w:b/>
          <w:i w:val="false"/>
          <w:color w:val="000000"/>
          <w:sz w:val="22"/>
        </w:rPr>
        <w:t xml:space="preserve">(17A,68B) </w:t>
      </w:r>
      <w:r>
        <w:rPr>
          <w:rFonts w:ascii="Times New Roman" w:hAnsi="Times New Roman"/>
          <w:b/>
          <w:i w:val="false"/>
          <w:color w:val="000000"/>
          <w:sz w:val="22"/>
        </w:rPr>
        <w:t xml:space="preserve">Board consideration. </w:t>
      </w:r>
      <w:r>
        <w:rPr>
          <w:rFonts w:ascii="Times New Roman" w:hAnsi="Times New Roman"/>
          <w:b w:val="false"/>
          <w:i w:val="false"/>
          <w:color w:val="000000"/>
          <w:sz w:val="22"/>
        </w:rPr>
        <w:t>Upon request by petitioner in the petition for a declaratory order, the board shall schedule a brief and informal meeting between the petitioner, all intervenors, and the board’s executive director or legal counsel to discuss the petition. The board may solicit comments from any person on the questions presented in the petition. Any person may submit comments to the board on the questions raised in the petition.</w:t>
      </w:r>
    </w:p>
    <w:p>
      <w:pPr>
        <w:spacing w:before="0" w:after="0"/>
        <w:ind w:left="120"/>
        <w:jc w:val="both"/>
      </w:pPr>
      <w:r>
        <w:rPr>
          <w:rFonts w:ascii="Times New Roman" w:hAnsi="Times New Roman"/>
          <w:b/>
          <w:i w:val="false"/>
          <w:color w:val="000000"/>
          <w:sz w:val="22"/>
        </w:rPr>
        <w:t>351—12.7</w:t>
      </w:r>
      <w:r>
        <w:rPr>
          <w:rFonts w:ascii="Times New Roman" w:hAnsi="Times New Roman"/>
          <w:b/>
          <w:i w:val="false"/>
          <w:color w:val="000000"/>
          <w:sz w:val="22"/>
        </w:rPr>
        <w:t xml:space="preserve">(17A,68B)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Within 30 days after the filing of the petition, or 5 days following a regular meeting of the board in which the petition has been received and discussed, whichever comes earlier, the board shall issue an order on the petition, set the matter for specified proceedings, agree to issue a declaratory order by a specified time, or decline to issue the order and state the reasons for doing so. If the board does not issue a declaratory order within 60 days after the receipt of a petition for a declaratory order, the petition is deemed denied. The parties may agree to extend the deadlines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Date of issuance. </w:t>
      </w:r>
      <w:r>
        <w:rPr>
          <w:rFonts w:ascii="Times New Roman" w:hAnsi="Times New Roman"/>
          <w:b w:val="false"/>
          <w:i w:val="false"/>
          <w:color w:val="000000"/>
          <w:sz w:val="22"/>
        </w:rPr>
        <w:t>The board is deemed to have issued an order or to have refused to do so on the date the order or refusal is mailed or delivered to the parties of record.</w:t>
      </w:r>
    </w:p>
    <w:p>
      <w:pPr>
        <w:spacing w:before="0" w:after="0"/>
        <w:ind w:left="120"/>
        <w:jc w:val="both"/>
      </w:pPr>
      <w:r>
        <w:rPr>
          <w:rFonts w:ascii="Times New Roman" w:hAnsi="Times New Roman"/>
          <w:b/>
          <w:i w:val="false"/>
          <w:color w:val="000000"/>
          <w:sz w:val="22"/>
        </w:rPr>
        <w:t>351—12.8</w:t>
      </w:r>
      <w:r>
        <w:rPr>
          <w:rFonts w:ascii="Times New Roman" w:hAnsi="Times New Roman"/>
          <w:b/>
          <w:i w:val="false"/>
          <w:color w:val="000000"/>
          <w:sz w:val="22"/>
        </w:rPr>
        <w:t xml:space="preserve">(17A,68B)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For good cause. </w:t>
      </w:r>
      <w:r>
        <w:rPr>
          <w:rFonts w:ascii="Times New Roman" w:hAnsi="Times New Roman"/>
          <w:b w:val="false"/>
          <w:i w:val="false"/>
          <w:color w:val="000000"/>
          <w:sz w:val="22"/>
        </w:rPr>
        <w:t>The board shall refuse to issue a declaratory order for good cause. Good cause includes, but is not limited to,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proceeding, or other agency or judicial proceeding that may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Rationale. </w:t>
      </w:r>
      <w:r>
        <w:rPr>
          <w:rFonts w:ascii="Times New Roman" w:hAnsi="Times New Roman"/>
          <w:b w:val="false"/>
          <w:i w:val="false"/>
          <w:color w:val="000000"/>
          <w:sz w:val="22"/>
        </w:rPr>
        <w:t>A refusal to issue a declaratory order shall indicate the specific grounds for the refusal and constitutes final agency action on the petition. Once the board declines to issue a declaratory order, or if the petition is deemed denied because an order was not entered within 60 days, a party to the proceeding may either seek judicial review or await further board action with respect to its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Amended filing. </w:t>
      </w:r>
      <w:r>
        <w:rPr>
          <w:rFonts w:ascii="Times New Roman" w:hAnsi="Times New Roman"/>
          <w:b w:val="false"/>
          <w:i w:val="false"/>
          <w:color w:val="000000"/>
          <w:sz w:val="22"/>
        </w:rPr>
        <w:t>Refusal to issue a declaratory order does not preclude the filing of a new petition that seeks to eliminate the grounds for the board’s refusal to issue an order.</w:t>
      </w:r>
    </w:p>
    <w:p>
      <w:pPr>
        <w:spacing w:before="210" w:after="0"/>
        <w:ind w:left="120"/>
        <w:jc w:val="both"/>
      </w:pPr>
      <w:r>
        <w:rPr>
          <w:rFonts w:ascii="Times New Roman" w:hAnsi="Times New Roman"/>
          <w:b/>
          <w:i w:val="false"/>
          <w:color w:val="000000"/>
          <w:sz w:val="22"/>
        </w:rPr>
        <w:t>351—12.9</w:t>
      </w:r>
      <w:r>
        <w:rPr>
          <w:rFonts w:ascii="Times New Roman" w:hAnsi="Times New Roman"/>
          <w:b/>
          <w:i w:val="false"/>
          <w:color w:val="000000"/>
          <w:sz w:val="22"/>
        </w:rPr>
        <w:t xml:space="preserve">(17A,68B) </w:t>
      </w:r>
      <w:r>
        <w:rPr>
          <w:rFonts w:ascii="Times New Roman" w:hAnsi="Times New Roman"/>
          <w:b/>
          <w:i w:val="false"/>
          <w:color w:val="000000"/>
          <w:sz w:val="22"/>
        </w:rPr>
        <w:t xml:space="preserve">Contents of declaratory order. </w:t>
      </w:r>
      <w:r>
        <w:rPr>
          <w:rFonts w:ascii="Times New Roman" w:hAnsi="Times New Roman"/>
          <w:b w:val="false"/>
          <w:i w:val="false"/>
          <w:color w:val="000000"/>
          <w:sz w:val="22"/>
        </w:rPr>
        <w:t>In addition to the order itself, a declaratory order must contain the date of issuance, the name of petitioner and all intervenors, the specific statutes, rules, policies, decisions, or orders involved, the particular facts upon which it is based, and the reasons for its conclusion.</w:t>
      </w:r>
    </w:p>
    <w:p>
      <w:pPr>
        <w:spacing w:before="210" w:after="0"/>
        <w:ind w:left="120"/>
        <w:jc w:val="both"/>
      </w:pPr>
      <w:r>
        <w:rPr>
          <w:rFonts w:ascii="Times New Roman" w:hAnsi="Times New Roman"/>
          <w:b/>
          <w:i w:val="false"/>
          <w:color w:val="000000"/>
          <w:sz w:val="22"/>
        </w:rPr>
        <w:t>351—12.10</w:t>
      </w:r>
      <w:r>
        <w:rPr>
          <w:rFonts w:ascii="Times New Roman" w:hAnsi="Times New Roman"/>
          <w:b/>
          <w:i w:val="false"/>
          <w:color w:val="000000"/>
          <w:sz w:val="22"/>
        </w:rPr>
        <w:t xml:space="preserve">(17A,68B)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351—12.11</w:t>
      </w:r>
      <w:r>
        <w:rPr>
          <w:rFonts w:ascii="Times New Roman" w:hAnsi="Times New Roman"/>
          <w:b/>
          <w:i w:val="false"/>
          <w:color w:val="000000"/>
          <w:sz w:val="22"/>
        </w:rPr>
        <w:t xml:space="preserve">(17A,68B)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The order is binding on the board, the petitioner, and any intervenors who consented to be bound. An order is applicable only in circumstances when the relevant facts and the laws, rules, policies, decisions, or orders involved are indistinguishable from those on which the order was based. As to all other persons, a declaratory order serves only as precedent and is not binding on the board. The issuance of a declaratory order constitutes final agency action on the petition for a declaratory order. A declaratory order is in effect on the date of issuance.</w:t>
      </w:r>
    </w:p>
    <w:p>
      <w:pPr>
        <w:spacing w:before="210" w:after="0"/>
        <w:ind w:left="120"/>
        <w:jc w:val="both"/>
      </w:pPr>
      <w:r>
        <w:rPr>
          <w:rFonts w:ascii="Times New Roman" w:hAnsi="Times New Roman"/>
          <w:b/>
          <w:i w:val="false"/>
          <w:color w:val="000000"/>
          <w:sz w:val="22"/>
        </w:rPr>
        <w:t>351—12.12</w:t>
      </w:r>
      <w:r>
        <w:rPr>
          <w:rFonts w:ascii="Times New Roman" w:hAnsi="Times New Roman"/>
          <w:b/>
          <w:i w:val="false"/>
          <w:color w:val="000000"/>
          <w:sz w:val="22"/>
        </w:rPr>
        <w:t xml:space="preserve">(17A,68B) </w:t>
      </w:r>
      <w:r>
        <w:rPr>
          <w:rFonts w:ascii="Times New Roman" w:hAnsi="Times New Roman"/>
          <w:b/>
          <w:i w:val="false"/>
          <w:color w:val="000000"/>
          <w:sz w:val="22"/>
        </w:rPr>
        <w:t xml:space="preserve">Advisory opinion. </w:t>
      </w:r>
      <w:r>
        <w:rPr>
          <w:rFonts w:ascii="Times New Roman" w:hAnsi="Times New Roman"/>
          <w:b w:val="false"/>
          <w:i w:val="false"/>
          <w:color w:val="000000"/>
          <w:sz w:val="22"/>
        </w:rPr>
        <w:t xml:space="preserve">In lieu of filing a petition for a declaratory order, any person subject to the board’s jurisdiction may request an advisory opinion pursuant to </w:t>
      </w:r>
      <w:hyperlink r:id="rId6">
        <w:r>
          <w:rPr>
            <w:rStyle w:val="Hyperlink"/>
            <w:rFonts w:ascii="Times New Roman" w:hAnsi="Times New Roman"/>
            <w:b w:val="false"/>
            <w:i w:val="false"/>
            <w:color w:val="000000"/>
            <w:sz w:val="22"/>
          </w:rPr>
          <w:t>rule 351—1.2(68B)</w:t>
        </w:r>
      </w:hyperlink>
      <w:r>
        <w:rPr>
          <w:rFonts w:ascii="Times New Roman" w:hAnsi="Times New Roman"/>
          <w:b w:val="false"/>
          <w:i w:val="false"/>
          <w:color w:val="000000"/>
          <w:sz w:val="22"/>
        </w:rPr>
        <w:t xml:space="preserve">. However, as provided in </w:t>
      </w:r>
      <w:hyperlink r:id="rId7">
        <w:r>
          <w:rPr>
            <w:rStyle w:val="Hyperlink"/>
            <w:rFonts w:ascii="Times New Roman" w:hAnsi="Times New Roman"/>
            <w:b w:val="false"/>
            <w:i w:val="false"/>
            <w:color w:val="000000"/>
            <w:sz w:val="22"/>
          </w:rPr>
          <w:t>351—subrule 1.3(6)</w:t>
        </w:r>
      </w:hyperlink>
      <w:r>
        <w:rPr>
          <w:rFonts w:ascii="Times New Roman" w:hAnsi="Times New Roman"/>
          <w:b w:val="false"/>
          <w:i w:val="false"/>
          <w:color w:val="000000"/>
          <w:sz w:val="22"/>
        </w:rPr>
        <w:t>, the board will refuse to issue a declaratory order to a person who has previously received a board opinion on the same question unless the petitioner demonstrates a significant change in circumstances from those in the board opinion.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12/6/88, Notice 6/1/88—published 12/28/88, effective 2/1/89]</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emergency 6/16/94—published 7/6/94, effective 6/16/94]</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8/28/03, Notice 7/23/03—published 9/17/03, effective 10/22/03]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351.12.6.pdf" Type="http://schemas.openxmlformats.org/officeDocument/2006/relationships/hyperlink" Id="rId5"/>
    <Relationship TargetMode="External" Target="https://www.legis.iowa.gov/docs/iac/rule/351.1.2.pdf" Type="http://schemas.openxmlformats.org/officeDocument/2006/relationships/hyperlink" Id="rId6"/>
    <Relationship TargetMode="External" Target="https://www.legis.iowa.gov/docs/iac/rule/351.1.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68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