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CONTESTED CASE PROCEDURES</w:t>
      </w:r>
    </w:p>
    <w:p>
      <w:pPr>
        <w:spacing w:before="0" w:after="0"/>
        <w:ind w:left="120"/>
        <w:jc w:val="center"/>
      </w:pPr>
      <w:r>
        <w:rPr>
          <w:rFonts w:ascii="Times New Roman" w:hAnsi="Times New Roman"/>
          <w:b w:val="false"/>
          <w:i w:val="false"/>
          <w:color w:val="000000"/>
          <w:sz w:val="14"/>
        </w:rPr>
        <w:t>[Prior to 7/9/03, see 351—Ch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351—11.1</w:t>
      </w:r>
      <w:r>
        <w:rPr>
          <w:rFonts w:ascii="Times New Roman" w:hAnsi="Times New Roman"/>
          <w:b/>
          <w:i w:val="false"/>
          <w:color w:val="000000"/>
          <w:sz w:val="22"/>
        </w:rPr>
        <w:t xml:space="preserve">(17A,68B)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Iowa ethics and campaign disclosure board.</w:t>
      </w:r>
    </w:p>
    <w:p>
      <w:pPr>
        <w:spacing w:before="0" w:after="0"/>
        <w:ind w:left="120"/>
        <w:jc w:val="both"/>
      </w:pPr>
      <w:r>
        <w:rPr>
          <w:rFonts w:ascii="Times New Roman" w:hAnsi="Times New Roman"/>
          <w:b/>
          <w:i w:val="false"/>
          <w:color w:val="000000"/>
          <w:sz w:val="22"/>
        </w:rPr>
        <w:t>351—11.2</w:t>
      </w:r>
      <w:r>
        <w:rPr>
          <w:rFonts w:ascii="Times New Roman" w:hAnsi="Times New Roman"/>
          <w:b/>
          <w:i w:val="false"/>
          <w:color w:val="000000"/>
          <w:sz w:val="22"/>
        </w:rPr>
        <w:t xml:space="preserve">(17A,68B)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board member designated to be the presiding officer or the administrative law judge assigned by the department of inspections and appeals division of administrative hearings. However, with regard to substantive or dispositive motions, “presiding officer” means all participating 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Iowa ethics and campaign disclosure board did not preside.</w:t>
      </w:r>
    </w:p>
    <w:p>
      <w:pPr>
        <w:spacing w:before="210" w:after="0"/>
        <w:ind w:left="120"/>
        <w:jc w:val="both"/>
      </w:pPr>
      <w:r>
        <w:rPr>
          <w:rFonts w:ascii="Times New Roman" w:hAnsi="Times New Roman"/>
          <w:b/>
          <w:i w:val="false"/>
          <w:color w:val="000000"/>
          <w:sz w:val="22"/>
        </w:rPr>
        <w:t>351—11.3</w:t>
      </w:r>
      <w:r>
        <w:rPr>
          <w:rFonts w:ascii="Times New Roman" w:hAnsi="Times New Roman"/>
          <w:b/>
          <w:i w:val="false"/>
          <w:color w:val="000000"/>
          <w:sz w:val="22"/>
        </w:rPr>
        <w:t xml:space="preserve">(17A,68B) </w:t>
      </w:r>
      <w:r>
        <w:rPr>
          <w:rFonts w:ascii="Times New Roman" w:hAnsi="Times New Roman"/>
          <w:b/>
          <w:i w:val="false"/>
          <w:color w:val="000000"/>
          <w:sz w:val="22"/>
        </w:rPr>
        <w:t xml:space="preserve">Time requirements. </w:t>
      </w:r>
      <w:r>
        <w:rPr>
          <w:rFonts w:ascii="Times New Roman" w:hAnsi="Times New Roman"/>
          <w:b w:val="false"/>
          <w:i w:val="false"/>
          <w:color w:val="000000"/>
          <w:sz w:val="22"/>
        </w:rPr>
        <w:t xml:space="preserve">Time shall be computed as provided in Iowa Code subsection </w:t>
      </w:r>
      <w:hyperlink r:id="rId6">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 For good cause, the presiding officer may extend or shorten the time to take any action except as precluded by statute or by rule.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i w:val="false"/>
          <w:color w:val="000000"/>
          <w:sz w:val="22"/>
        </w:rPr>
        <w:t>351—11.4</w:t>
      </w:r>
      <w:r>
        <w:rPr>
          <w:rFonts w:ascii="Times New Roman" w:hAnsi="Times New Roman"/>
          <w:b/>
          <w:i w:val="false"/>
          <w:color w:val="000000"/>
          <w:sz w:val="22"/>
        </w:rPr>
        <w:t xml:space="preserve">(17A,68B) </w:t>
      </w:r>
      <w:r>
        <w:rPr>
          <w:rFonts w:ascii="Times New Roman" w:hAnsi="Times New Roman"/>
          <w:b/>
          <w:i w:val="false"/>
          <w:color w:val="000000"/>
          <w:sz w:val="22"/>
        </w:rPr>
        <w:t xml:space="preserve">Requests for 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Who may file request. </w:t>
      </w:r>
      <w:r>
        <w:rPr>
          <w:rFonts w:ascii="Times New Roman" w:hAnsi="Times New Roman"/>
          <w:b w:val="false"/>
          <w:i w:val="false"/>
          <w:color w:val="000000"/>
          <w:sz w:val="22"/>
        </w:rPr>
        <w:t>Any person claiming an entitlement to a contested case proceeding may file a written request for such a proceeding within the time specified by the particular rules or statutes governing the subject matter or, in the absence of such law, the time specified in the board action in question. Upon petition by any party in a matter that would be a contested case if there was a dispute over the existence of material facts, all of the provisions of this chapter, except those relating to presentation of evidence, shall be applicable even though there is no factual dispute in the particular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Form of request. </w:t>
      </w:r>
      <w:r>
        <w:rPr>
          <w:rFonts w:ascii="Times New Roman" w:hAnsi="Times New Roman"/>
          <w:b w:val="false"/>
          <w:i w:val="false"/>
          <w:color w:val="000000"/>
          <w:sz w:val="22"/>
        </w:rPr>
        <w:t>The request for a contested case proceeding shall state the name and address of the requester, identify the specific board action that is disputed, and, when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ind w:left="120"/>
        <w:jc w:val="both"/>
      </w:pPr>
      <w:r>
        <w:rPr>
          <w:rFonts w:ascii="Times New Roman" w:hAnsi="Times New Roman"/>
          <w:b/>
          <w:i w:val="false"/>
          <w:color w:val="000000"/>
          <w:sz w:val="22"/>
        </w:rPr>
        <w:t>351—11.5</w:t>
      </w:r>
      <w:r>
        <w:rPr>
          <w:rFonts w:ascii="Times New Roman" w:hAnsi="Times New Roman"/>
          <w:b/>
          <w:i w:val="false"/>
          <w:color w:val="000000"/>
          <w:sz w:val="22"/>
        </w:rPr>
        <w:t xml:space="preserve">(17A,68B)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address service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serve as the board’s counsel during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w:t>
      </w:r>
      <w:hyperlink r:id="rId7">
        <w:r>
          <w:rPr>
            <w:rStyle w:val="Hyperlink"/>
            <w:rFonts w:ascii="Times New Roman" w:hAnsi="Times New Roman"/>
            <w:b w:val="false"/>
            <w:i w:val="false"/>
            <w:color w:val="000000"/>
            <w:sz w:val="22"/>
          </w:rPr>
          <w:t>subrule 11.8(3)</w:t>
        </w:r>
      </w:hyperlink>
      <w:r>
        <w:rPr>
          <w:rFonts w:ascii="Times New Roman" w:hAnsi="Times New Roman"/>
          <w:b w:val="false"/>
          <w:i w:val="false"/>
          <w:color w:val="000000"/>
          <w:sz w:val="22"/>
        </w:rPr>
        <w:t>, that the presiding officer be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The notice of hearing shall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all parties at least 20 days before the scheduled hearing date if the alleged violation involves conduct other than the failure to timely file a statement, report, or document that is required to be filed pursuant to a law or rule under the board’s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all parties at least 10 days before the scheduled hearing date if the alleged violation involves the failure to timely file a statement, report, or document that is required to be filed pursuant to a law or rule under the board’s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all parties at least 10 days before the scheduled hearing date if the hearing is an appeal of a board decision concerning a civil penalty waiver request for a late-filed statement, report, or document that is required to be filed pursuant to a law or rule under the board’s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all parties at least 10 days before the scheduled hearing date if the hearing is an appeal of a decision of a regulatory agency to deny or grant conditional consent for an official or employee of the regulatory agency to sell or lease goods or services as provided in 351—subrule 6.11(6).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all parties at least 10 days before the scheduled hearing date if the hearing is an appeal of a decision by the office of the governor to deny or grant conditional consent for a member of the governor’s office to sell or lease goods or services as provided in 351—subrule 6.12(4).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7997B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351—11.6</w:t>
      </w:r>
      <w:r>
        <w:rPr>
          <w:rFonts w:ascii="Times New Roman" w:hAnsi="Times New Roman"/>
          <w:b/>
          <w:i w:val="false"/>
          <w:color w:val="000000"/>
          <w:sz w:val="22"/>
        </w:rPr>
        <w:t xml:space="preserve">(17A,68B)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board in its discretion may refuse to give effect to such a waiver when it deems the waiver to be inconsistent with the public interest.</w:t>
      </w:r>
    </w:p>
    <w:p>
      <w:pPr>
        <w:spacing w:before="210" w:after="0"/>
        <w:ind w:left="120"/>
        <w:jc w:val="both"/>
      </w:pPr>
      <w:r>
        <w:rPr>
          <w:rFonts w:ascii="Times New Roman" w:hAnsi="Times New Roman"/>
          <w:b/>
          <w:i w:val="false"/>
          <w:color w:val="000000"/>
          <w:sz w:val="22"/>
        </w:rPr>
        <w:t>351—11.7</w:t>
      </w:r>
      <w:r>
        <w:rPr>
          <w:rFonts w:ascii="Times New Roman" w:hAnsi="Times New Roman"/>
          <w:b/>
          <w:i w:val="false"/>
          <w:color w:val="000000"/>
          <w:sz w:val="22"/>
        </w:rPr>
        <w:t xml:space="preserve">(17A,68B)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shall determine the location of the parties and witnesses for telephone hearings. The convenience of the witnesses or parties, as well as the nature of the case, shall be considered when location is chosen.</w:t>
      </w:r>
    </w:p>
    <w:p>
      <w:pPr>
        <w:spacing w:before="0" w:after="0"/>
        <w:ind w:left="120"/>
        <w:jc w:val="both"/>
      </w:pPr>
      <w:r>
        <w:rPr>
          <w:rFonts w:ascii="Times New Roman" w:hAnsi="Times New Roman"/>
          <w:b/>
          <w:i w:val="false"/>
          <w:color w:val="000000"/>
          <w:sz w:val="22"/>
        </w:rPr>
        <w:t>351—11.8</w:t>
      </w:r>
      <w:r>
        <w:rPr>
          <w:rFonts w:ascii="Times New Roman" w:hAnsi="Times New Roman"/>
          <w:b/>
          <w:i w:val="false"/>
          <w:color w:val="000000"/>
          <w:sz w:val="22"/>
        </w:rPr>
        <w:t xml:space="preserve">(17A,68B) </w:t>
      </w:r>
      <w:r>
        <w:rPr>
          <w:rFonts w:ascii="Times New Roman" w:hAnsi="Times New Roman"/>
          <w:b/>
          <w:i w:val="false"/>
          <w:color w:val="000000"/>
          <w:sz w:val="22"/>
        </w:rPr>
        <w:t xml:space="preserve">Disqualification; request for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prosecuted or advocated, in connection with that case, the specific controversy underlying that case, or another pending factually related contested case, or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Has personally investigated the pending contested case. The term “personally investigated” means taking affirmative steps to interview witnesses directly or to obtain documents or other information directly. It does not include either direction and supervision of assigned investigators or unsolicited receipt of oral information or documents which are relayed to assigned investigators, review of another person’s investigative work product in the course of determining whether there is probable cause to initiate a proceeding, or exposure to factual information while performing other board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8">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In a situation where a presiding officer or other person knows of information that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inappropriate.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Motion for disqualification. </w:t>
      </w:r>
      <w:r>
        <w:rPr>
          <w:rFonts w:ascii="Times New Roman" w:hAnsi="Times New Roman"/>
          <w:b w:val="false"/>
          <w:i w:val="false"/>
          <w:color w:val="000000"/>
          <w:sz w:val="22"/>
        </w:rPr>
        <w:t xml:space="preserve">If a party asserts disqualification on any appropriate ground, including those listed in </w:t>
      </w:r>
      <w:hyperlink r:id="rId9">
        <w:r>
          <w:rPr>
            <w:rStyle w:val="Hyperlink"/>
            <w:rFonts w:ascii="Times New Roman" w:hAnsi="Times New Roman"/>
            <w:b w:val="false"/>
            <w:i w:val="false"/>
            <w:color w:val="000000"/>
            <w:sz w:val="22"/>
          </w:rPr>
          <w:t>subrule 11.8(1)</w:t>
        </w:r>
      </w:hyperlink>
      <w:r>
        <w:rPr>
          <w:rFonts w:ascii="Times New Roman" w:hAnsi="Times New Roman"/>
          <w:b w:val="false"/>
          <w:i w:val="false"/>
          <w:color w:val="000000"/>
          <w:sz w:val="22"/>
        </w:rPr>
        <w:t xml:space="preserve">, the party shall file a motion supported by an affidavit pursuant to Iowa Code section </w:t>
      </w:r>
      <w:hyperlink r:id="rId10">
        <w:r>
          <w:rPr>
            <w:rStyle w:val="Hyperlink"/>
            <w:rFonts w:ascii="Times New Roman" w:hAnsi="Times New Roman"/>
            <w:b w:val="false"/>
            <w:i w:val="false"/>
            <w:color w:val="000000"/>
            <w:sz w:val="22"/>
          </w:rPr>
          <w:t>17A.17(4)</w:t>
        </w:r>
      </w:hyperlink>
      <w:r>
        <w:rPr>
          <w:rFonts w:ascii="Times New Roman" w:hAnsi="Times New Roman"/>
          <w:b w:val="false"/>
          <w:i w:val="false"/>
          <w:color w:val="000000"/>
          <w:sz w:val="22"/>
        </w:rPr>
        <w:t xml:space="preserve">. The motion must be filed as soon as practicable after the reason alleged in the motion becomes known to the party. If during the course of the hearing a party becomes aware of evidence of bias or other grounds for disqualification, the party may move for disqualification but must establish the grounds by the introduction of evidence into the record. 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w:t>
      </w:r>
      <w:hyperlink r:id="rId11">
        <w:r>
          <w:rPr>
            <w:rStyle w:val="Hyperlink"/>
            <w:rFonts w:ascii="Times New Roman" w:hAnsi="Times New Roman"/>
            <w:b w:val="false"/>
            <w:i w:val="false"/>
            <w:color w:val="000000"/>
            <w:sz w:val="22"/>
          </w:rPr>
          <w:t>rule 351—11.24(17A,68B)</w:t>
        </w:r>
      </w:hyperlink>
      <w:r>
        <w:rPr>
          <w:rFonts w:ascii="Times New Roman" w:hAnsi="Times New Roman"/>
          <w:b w:val="false"/>
          <w:i w:val="false"/>
          <w:color w:val="000000"/>
          <w:sz w:val="22"/>
        </w:rPr>
        <w:t xml:space="preserve"> and seek a stay under </w:t>
      </w:r>
      <w:hyperlink r:id="rId12">
        <w:r>
          <w:rPr>
            <w:rStyle w:val="Hyperlink"/>
            <w:rFonts w:ascii="Times New Roman" w:hAnsi="Times New Roman"/>
            <w:b w:val="false"/>
            <w:i w:val="false"/>
            <w:color w:val="000000"/>
            <w:sz w:val="22"/>
          </w:rPr>
          <w:t>rule 351—11.28(17A,68B)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color w:val="000000"/>
          <w:sz w:val="22"/>
        </w:rPr>
        <w:t xml:space="preserve">Request for administrative law judge. </w:t>
      </w:r>
      <w:r>
        <w:rPr>
          <w:rFonts w:ascii="Times New Roman" w:hAnsi="Times New Roman"/>
          <w:b w:val="false"/>
          <w:i w:val="false"/>
          <w:color w:val="000000"/>
          <w:sz w:val="22"/>
        </w:rPr>
        <w:t xml:space="preserve">A party may, within ten days of delivery of a notice of hearing under </w:t>
      </w:r>
      <w:hyperlink r:id="rId13">
        <w:r>
          <w:rPr>
            <w:rStyle w:val="Hyperlink"/>
            <w:rFonts w:ascii="Times New Roman" w:hAnsi="Times New Roman"/>
            <w:b w:val="false"/>
            <w:i w:val="false"/>
            <w:color w:val="000000"/>
            <w:sz w:val="22"/>
          </w:rPr>
          <w:t>subrule 11.5(1)</w:t>
        </w:r>
      </w:hyperlink>
      <w:r>
        <w:rPr>
          <w:rFonts w:ascii="Times New Roman" w:hAnsi="Times New Roman"/>
          <w:b w:val="false"/>
          <w:i w:val="false"/>
          <w:color w:val="000000"/>
          <w:sz w:val="22"/>
        </w:rPr>
        <w:t>, request that the presiding officer be an administrative law judge assigned by the department of inspections and appeals division of administrative hearings. This request shall be sent to the board’s legal counsel who shall then notify the board. Except as otherwise provided by statute, the board shall grant such a request unless the board finds, and states the reasons for such finding, that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qualified administrative law judge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intra-agency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w:t>
      </w:r>
      <w:r>
        <w:rPr>
          <w:rFonts w:ascii="Times New Roman" w:hAnsi="Times New Roman"/>
          <w:b w:val="false"/>
          <w:i w:val="false"/>
          <w:color w:val="000000"/>
          <w:sz w:val="22"/>
        </w:rPr>
        <w:t> </w:t>
      </w:r>
      <w:r>
        <w:rPr>
          <w:rFonts w:ascii="Times New Roman" w:hAnsi="Times New Roman"/>
          <w:b w:val="false"/>
          <w:i/>
          <w:color w:val="000000"/>
          <w:sz w:val="22"/>
        </w:rPr>
        <w:t xml:space="preserve">Ruling on request. </w:t>
      </w:r>
      <w:r>
        <w:rPr>
          <w:rFonts w:ascii="Times New Roman" w:hAnsi="Times New Roman"/>
          <w:b w:val="false"/>
          <w:i w:val="false"/>
          <w:color w:val="000000"/>
          <w:sz w:val="22"/>
        </w:rPr>
        <w:t>The board shall issue a written ruling specifying the grounds for the decision within ten days after a request for an administrative law judge is filed. If the ruling is contingent upon the availability of an administrative law judge, the parties shall be notified at least ten days prior to hearing if an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All rulings by an administrative law judge acting as presiding officer are subject to appeal to the board pursuant to </w:t>
      </w:r>
      <w:hyperlink r:id="rId14">
        <w:r>
          <w:rPr>
            <w:rStyle w:val="Hyperlink"/>
            <w:rFonts w:ascii="Times New Roman" w:hAnsi="Times New Roman"/>
            <w:b w:val="false"/>
            <w:i w:val="false"/>
            <w:color w:val="000000"/>
            <w:sz w:val="22"/>
          </w:rPr>
          <w:t>rules 351—11.24(17A,68B)</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11.25(17A,68B)</w:t>
        </w:r>
      </w:hyperlink>
      <w:r>
        <w:rPr>
          <w:rFonts w:ascii="Times New Roman" w:hAnsi="Times New Roman"/>
          <w:b w:val="false"/>
          <w:i w:val="false"/>
          <w:color w:val="000000"/>
          <w:sz w:val="22"/>
        </w:rPr>
        <w:t>. A party must seek intra-agency appeal in order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w:t>
      </w:r>
      <w:r>
        <w:rPr>
          <w:rFonts w:ascii="Times New Roman" w:hAnsi="Times New Roman"/>
          <w:b w:val="false"/>
          <w:i w:val="false"/>
          <w:color w:val="000000"/>
          <w:sz w:val="22"/>
        </w:rPr>
        <w:t> </w:t>
      </w:r>
      <w:r>
        <w:rPr>
          <w:rFonts w:ascii="Times New Roman" w:hAnsi="Times New Roman"/>
          <w:b w:val="false"/>
          <w:i/>
          <w:color w:val="000000"/>
          <w:sz w:val="22"/>
        </w:rPr>
        <w:t xml:space="preserve">Board review. </w:t>
      </w:r>
      <w:r>
        <w:rPr>
          <w:rFonts w:ascii="Times New Roman" w:hAnsi="Times New Roman"/>
          <w:b w:val="false"/>
          <w:i w:val="false"/>
          <w:color w:val="000000"/>
          <w:sz w:val="22"/>
        </w:rPr>
        <w:t>Unless otherwise provided by law, the board, when reviewing a proposed decision upon intra-agency appeal, shall have the powers of, and shall comply with, the provisions of this chapter that apply to presiding officers.</w:t>
      </w:r>
    </w:p>
    <w:p>
      <w:pPr>
        <w:spacing w:before="0" w:after="0"/>
        <w:ind w:left="120"/>
        <w:jc w:val="both"/>
      </w:pPr>
      <w:r>
        <w:rPr>
          <w:rFonts w:ascii="Times New Roman" w:hAnsi="Times New Roman"/>
          <w:b/>
          <w:i w:val="false"/>
          <w:color w:val="000000"/>
          <w:sz w:val="22"/>
        </w:rPr>
        <w:t>351—11.9</w:t>
      </w:r>
      <w:r>
        <w:rPr>
          <w:rFonts w:ascii="Times New Roman" w:hAnsi="Times New Roman"/>
          <w:b/>
          <w:i w:val="false"/>
          <w:color w:val="000000"/>
          <w:sz w:val="22"/>
        </w:rPr>
        <w:t xml:space="preserve">(17A,68B)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351—11.10</w:t>
      </w:r>
      <w:r>
        <w:rPr>
          <w:rFonts w:ascii="Times New Roman" w:hAnsi="Times New Roman"/>
          <w:b/>
          <w:i w:val="false"/>
          <w:color w:val="000000"/>
          <w:sz w:val="22"/>
        </w:rPr>
        <w:t xml:space="preserve">(17A,68B)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color w:val="000000"/>
          <w:sz w:val="22"/>
        </w:rPr>
        <w:t xml:space="preserve">When required.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color w:val="000000"/>
          <w:sz w:val="22"/>
        </w:rPr>
        <w:t xml:space="preserve">Statement of charges. </w:t>
      </w:r>
      <w:r>
        <w:rPr>
          <w:rFonts w:ascii="Times New Roman" w:hAnsi="Times New Roman"/>
          <w:b w:val="false"/>
          <w:i w:val="false"/>
          <w:color w:val="000000"/>
          <w:sz w:val="22"/>
        </w:rPr>
        <w:t xml:space="preserve">The statement of charges shall set forth in ordinary and concise language the acts or omissions with which the person is charged and shall be of sufficient detail to enable the efficient preparation of the respondent’s defense. The statement of charges shall specify all statutes and rules that are alleged to have been violated and may also include additional information that the board deems appropriate to the proceeding. The statement of charges shall be consolidated with the notice of hearing described in </w:t>
      </w:r>
      <w:hyperlink r:id="rId16">
        <w:r>
          <w:rPr>
            <w:rStyle w:val="Hyperlink"/>
            <w:rFonts w:ascii="Times New Roman" w:hAnsi="Times New Roman"/>
            <w:b w:val="false"/>
            <w:i w:val="false"/>
            <w:color w:val="000000"/>
            <w:sz w:val="22"/>
          </w:rPr>
          <w:t>rule 351—11.5(17A,68B)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A respondent is not required to file an answer in response to a statement of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notice of hearing, petition, or other charging document may be amended before a responsive pleading has been filed. Amendments to pleadings after a responsive pleading has been filed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i w:val="false"/>
          <w:color w:val="000000"/>
          <w:sz w:val="22"/>
        </w:rPr>
        <w:t>351—11.11</w:t>
      </w:r>
      <w:r>
        <w:rPr>
          <w:rFonts w:ascii="Times New Roman" w:hAnsi="Times New Roman"/>
          <w:b/>
          <w:i w:val="false"/>
          <w:color w:val="000000"/>
          <w:sz w:val="22"/>
        </w:rPr>
        <w:t xml:space="preserve">(17A,68B)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pleading, motion, document, or other paper filed in a contested case proceeding and every paper relating to discovery in such a proceeding shall be served upon each of the parties of record simultaneously with their filing.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11.11(3)</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Except where otherwise provided by law, a document is deemed filed at the time it is delivered to the office of the Iowa Ethics and Campaign Disclosure Board, 510 East 12th Street, Suite 1A, Des Moines, Iowa 50319, or mailed with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11.11(4)</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 “I certify under penalty of perjury that on (date of mailing), I mailed copies of (describe document) addressed to the (board office and address) and to the names and addresses of the parties listed below by depositing the same in (a United States post office mailbox with correct postage properly affixed or state interoffice mail).”</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ind w:left="120"/>
        <w:jc w:val="both"/>
      </w:pPr>
      <w:r>
        <w:rPr>
          <w:rFonts w:ascii="Times New Roman" w:hAnsi="Times New Roman"/>
          <w:b/>
          <w:i w:val="false"/>
          <w:color w:val="000000"/>
          <w:sz w:val="22"/>
        </w:rPr>
        <w:t>351—11.12</w:t>
      </w:r>
      <w:r>
        <w:rPr>
          <w:rFonts w:ascii="Times New Roman" w:hAnsi="Times New Roman"/>
          <w:b/>
          <w:i w:val="false"/>
          <w:color w:val="000000"/>
          <w:sz w:val="22"/>
        </w:rPr>
        <w:t xml:space="preserve">(17A,68B)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color w:val="000000"/>
          <w:sz w:val="22"/>
        </w:rPr>
        <w:t xml:space="preserve">Applicable procedure.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color w:val="000000"/>
          <w:sz w:val="22"/>
        </w:rPr>
        <w:t xml:space="preserve">Motion for discovery.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w:t>
      </w:r>
      <w:hyperlink r:id="rId17">
        <w:r>
          <w:rPr>
            <w:rStyle w:val="Hyperlink"/>
            <w:rFonts w:ascii="Times New Roman" w:hAnsi="Times New Roman"/>
            <w:b w:val="false"/>
            <w:i w:val="false"/>
            <w:color w:val="000000"/>
            <w:sz w:val="22"/>
          </w:rPr>
          <w:t>subrule 11.12(1)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11.12(3)</w:t>
      </w:r>
      <w:r>
        <w:rPr>
          <w:rFonts w:ascii="Times New Roman" w:hAnsi="Times New Roman"/>
          <w:b w:val="false"/>
          <w:i w:val="false"/>
          <w:color w:val="000000"/>
          <w:sz w:val="22"/>
        </w:rPr>
        <w:t> </w:t>
      </w:r>
      <w:r>
        <w:rPr>
          <w:rFonts w:ascii="Times New Roman" w:hAnsi="Times New Roman"/>
          <w:b w:val="false"/>
          <w:i/>
          <w:color w:val="000000"/>
          <w:sz w:val="22"/>
        </w:rPr>
        <w:t xml:space="preserve">Use of evidence.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i w:val="false"/>
          <w:color w:val="000000"/>
          <w:sz w:val="22"/>
        </w:rPr>
        <w:t>351—11.13</w:t>
      </w:r>
      <w:r>
        <w:rPr>
          <w:rFonts w:ascii="Times New Roman" w:hAnsi="Times New Roman"/>
          <w:b/>
          <w:i w:val="false"/>
          <w:color w:val="000000"/>
          <w:sz w:val="22"/>
        </w:rPr>
        <w:t xml:space="preserve">(17A,68B)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board subpoena shall be issued to a party upon written request.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i w:val="false"/>
          <w:color w:val="000000"/>
          <w:sz w:val="22"/>
        </w:rPr>
        <w:t>351—11.14</w:t>
      </w:r>
      <w:r>
        <w:rPr>
          <w:rFonts w:ascii="Times New Roman" w:hAnsi="Times New Roman"/>
          <w:b/>
          <w:i w:val="false"/>
          <w:color w:val="000000"/>
          <w:sz w:val="22"/>
        </w:rPr>
        <w:t xml:space="preserve">(17A,68B)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color w:val="000000"/>
          <w:sz w:val="22"/>
        </w:rPr>
        <w:t xml:space="preserve">Who may file.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board or by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color w:val="000000"/>
          <w:sz w:val="22"/>
        </w:rPr>
        <w:t xml:space="preserve">Oral argument.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11.14(4)</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board or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11.14(5)</w:t>
      </w:r>
      <w:r>
        <w:rPr>
          <w:rFonts w:ascii="Times New Roman" w:hAnsi="Times New Roman"/>
          <w:b w:val="false"/>
          <w:i w:val="false"/>
          <w:color w:val="000000"/>
          <w:sz w:val="22"/>
        </w:rPr>
        <w:t> </w:t>
      </w:r>
      <w:r>
        <w:rPr>
          <w:rFonts w:ascii="Times New Roman" w:hAnsi="Times New Roman"/>
          <w:b w:val="false"/>
          <w:i/>
          <w:color w:val="000000"/>
          <w:sz w:val="22"/>
        </w:rPr>
        <w:t xml:space="preserve">Motions for summary judgment. </w:t>
      </w:r>
      <w:r>
        <w:rPr>
          <w:rFonts w:ascii="Times New Roman" w:hAnsi="Times New Roman"/>
          <w:b w:val="false"/>
          <w:i w:val="false"/>
          <w:color w:val="000000"/>
          <w:sz w:val="22"/>
        </w:rPr>
        <w:t xml:space="preserve">Motions for summary judgment shall comply with the requirements of Iowa Rule of Civil Procedure 1.981 and shall be subject to disposition according to the requirements of that rule to the extent such requirements are not inconsistent with the provisions of this rule or any other provision of law governing the procedure in contested cases. Motions for summary judgment must be filed and served at least 15 days prior to the scheduled hearing date, or other time period determined by the presiding officer. Any party resisting the motion shall file and serve a resistance within 10 days, unless otherwise ordered by the presiding officer, from the date a copy of the motion was served. The time fixed for hearing or nonoral submission shall be not less than 15 days after the filing of the motion, unless a shorter time is ordered by the presiding officer. A summary judgment order rendered on all issues in a contested case is subject to appeal and rehearing pursuant to </w:t>
      </w:r>
      <w:hyperlink r:id="rId18">
        <w:r>
          <w:rPr>
            <w:rStyle w:val="Hyperlink"/>
            <w:rFonts w:ascii="Times New Roman" w:hAnsi="Times New Roman"/>
            <w:b w:val="false"/>
            <w:i w:val="false"/>
            <w:color w:val="000000"/>
            <w:sz w:val="22"/>
          </w:rPr>
          <w:t>rules 351—11.26(17A,68B)</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11.27(17A,68B)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351—11.15</w:t>
      </w:r>
      <w:r>
        <w:rPr>
          <w:rFonts w:ascii="Times New Roman" w:hAnsi="Times New Roman"/>
          <w:b/>
          <w:i w:val="false"/>
          <w:color w:val="000000"/>
          <w:sz w:val="22"/>
        </w:rPr>
        <w:t xml:space="preserve">(17A,68B)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 The presiding officer shall give written notice of the prehearing conference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11.15(2)</w:t>
      </w:r>
      <w:r>
        <w:rPr>
          <w:rFonts w:ascii="Times New Roman" w:hAnsi="Times New Roman"/>
          <w:b w:val="false"/>
          <w:i w:val="false"/>
          <w:color w:val="000000"/>
          <w:sz w:val="22"/>
        </w:rPr>
        <w:t> </w:t>
      </w:r>
      <w:r>
        <w:rPr>
          <w:rFonts w:ascii="Times New Roman" w:hAnsi="Times New Roman"/>
          <w:b w:val="false"/>
          <w:i/>
          <w:color w:val="000000"/>
          <w:sz w:val="22"/>
        </w:rPr>
        <w:t xml:space="preserve">Required subject matter.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that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11.15(3)</w:t>
      </w:r>
      <w:r>
        <w:rPr>
          <w:rFonts w:ascii="Times New Roman" w:hAnsi="Times New Roman"/>
          <w:b w:val="false"/>
          <w:i w:val="false"/>
          <w:color w:val="000000"/>
          <w:sz w:val="22"/>
        </w:rPr>
        <w:t> </w:t>
      </w:r>
      <w:r>
        <w:rPr>
          <w:rFonts w:ascii="Times New Roman" w:hAnsi="Times New Roman"/>
          <w:b w:val="false"/>
          <w:i/>
          <w:color w:val="000000"/>
          <w:sz w:val="22"/>
        </w:rPr>
        <w:t xml:space="preserve">Additional issues. </w:t>
      </w:r>
      <w:r>
        <w:rPr>
          <w:rFonts w:ascii="Times New Roman" w:hAnsi="Times New Roman"/>
          <w:b w:val="false"/>
          <w:i w:val="false"/>
          <w:color w:val="000000"/>
          <w:sz w:val="22"/>
        </w:rPr>
        <w:t xml:space="preserve">In addition to the requirements of </w:t>
      </w:r>
      <w:hyperlink r:id="rId20">
        <w:r>
          <w:rPr>
            <w:rStyle w:val="Hyperlink"/>
            <w:rFonts w:ascii="Times New Roman" w:hAnsi="Times New Roman"/>
            <w:b w:val="false"/>
            <w:i w:val="false"/>
            <w:color w:val="000000"/>
            <w:sz w:val="22"/>
          </w:rPr>
          <w:t>subrule 11.15(2)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11.15(4)</w:t>
      </w:r>
      <w:r>
        <w:rPr>
          <w:rFonts w:ascii="Times New Roman" w:hAnsi="Times New Roman"/>
          <w:b w:val="false"/>
          <w:i w:val="false"/>
          <w:color w:val="000000"/>
          <w:sz w:val="22"/>
        </w:rPr>
        <w:t> </w:t>
      </w:r>
      <w:r>
        <w:rPr>
          <w:rFonts w:ascii="Times New Roman" w:hAnsi="Times New Roman"/>
          <w:b w:val="false"/>
          <w:i/>
          <w:color w:val="000000"/>
          <w:sz w:val="22"/>
        </w:rPr>
        <w:t xml:space="preserve">Telephone conference.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p>
      <w:pPr>
        <w:spacing w:before="0" w:after="0"/>
        <w:ind w:left="120"/>
        <w:jc w:val="both"/>
      </w:pPr>
      <w:r>
        <w:rPr>
          <w:rFonts w:ascii="Times New Roman" w:hAnsi="Times New Roman"/>
          <w:b/>
          <w:i w:val="false"/>
          <w:color w:val="000000"/>
          <w:sz w:val="22"/>
        </w:rPr>
        <w:t>351—11.16</w:t>
      </w:r>
      <w:r>
        <w:rPr>
          <w:rFonts w:ascii="Times New Roman" w:hAnsi="Times New Roman"/>
          <w:b/>
          <w:i w:val="false"/>
          <w:color w:val="000000"/>
          <w:sz w:val="22"/>
        </w:rPr>
        <w:t xml:space="preserve">(17A,68B)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11.16(1)</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when notice is not feasible. The board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11.16(2)</w:t>
      </w:r>
      <w:r>
        <w:rPr>
          <w:rFonts w:ascii="Times New Roman" w:hAnsi="Times New Roman"/>
          <w:b w:val="false"/>
          <w:i w:val="false"/>
          <w:color w:val="000000"/>
          <w:sz w:val="22"/>
        </w:rPr>
        <w:t> </w:t>
      </w:r>
      <w:r>
        <w:rPr>
          <w:rFonts w:ascii="Times New Roman" w:hAnsi="Times New Roman"/>
          <w:b w:val="false"/>
          <w:i/>
          <w:color w:val="000000"/>
          <w:sz w:val="22"/>
        </w:rPr>
        <w:t xml:space="preserve">Considerations for granting continuance. </w:t>
      </w:r>
      <w:r>
        <w:rPr>
          <w:rFonts w:ascii="Times New Roman" w:hAnsi="Times New Roman"/>
          <w:b w:val="false"/>
          <w:i w:val="false"/>
          <w:color w:val="000000"/>
          <w:sz w:val="22"/>
        </w:rPr>
        <w:t xml:space="preserve">In determining whether to grant a continuance, the presiding officer shall consider: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351—11.17</w:t>
      </w:r>
      <w:r>
        <w:rPr>
          <w:rFonts w:ascii="Times New Roman" w:hAnsi="Times New Roman"/>
          <w:b/>
          <w:i w:val="false"/>
          <w:color w:val="000000"/>
          <w:sz w:val="22"/>
        </w:rPr>
        <w:t xml:space="preserve">(17A,68B)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Unless otherwise provided, a withdrawal shall be with prejudice.</w:t>
      </w:r>
    </w:p>
    <w:p>
      <w:pPr>
        <w:spacing w:before="0" w:after="0"/>
        <w:ind w:left="120"/>
        <w:jc w:val="both"/>
      </w:pPr>
      <w:r>
        <w:rPr>
          <w:rFonts w:ascii="Times New Roman" w:hAnsi="Times New Roman"/>
          <w:b/>
          <w:i w:val="false"/>
          <w:color w:val="000000"/>
          <w:sz w:val="22"/>
        </w:rPr>
        <w:t>351—11.18</w:t>
      </w:r>
      <w:r>
        <w:rPr>
          <w:rFonts w:ascii="Times New Roman" w:hAnsi="Times New Roman"/>
          <w:b/>
          <w:i w:val="false"/>
          <w:color w:val="000000"/>
          <w:sz w:val="22"/>
        </w:rPr>
        <w:t xml:space="preserve">(17A,68B)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A motion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An intervenor shall be bound by any agreement, arrangement, or other matter previously raised in the case unless the agreement, arrangement, or other matter previously raised in the case is inequitable or unjust. Requests by untimely intervenors for continuances that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 xml:space="preserve">The intervenor shall demonstrate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intervenor is likely to be aggrieved or adversely affected by a final order in the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of the intervenor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permitted to intervene is a party to the proceeding. The order granting intervention may restrict the issues that may be raised by the intervenor or otherwise condition the intervenor’s participation in the proceedings.</w:t>
      </w:r>
    </w:p>
    <w:p>
      <w:pPr>
        <w:spacing w:before="0" w:after="0"/>
        <w:ind w:left="120"/>
        <w:jc w:val="both"/>
      </w:pPr>
      <w:r>
        <w:rPr>
          <w:rFonts w:ascii="Times New Roman" w:hAnsi="Times New Roman"/>
          <w:b/>
          <w:i w:val="false"/>
          <w:color w:val="000000"/>
          <w:sz w:val="22"/>
        </w:rPr>
        <w:t>351—11.19</w:t>
      </w:r>
      <w:r>
        <w:rPr>
          <w:rFonts w:ascii="Times New Roman" w:hAnsi="Times New Roman"/>
          <w:b/>
          <w:i w:val="false"/>
          <w:color w:val="000000"/>
          <w:sz w:val="22"/>
        </w:rPr>
        <w:t xml:space="preserve">(17A,68B)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11.19(1)</w:t>
      </w:r>
      <w:r>
        <w:rPr>
          <w:rFonts w:ascii="Times New Roman" w:hAnsi="Times New Roman"/>
          <w:b w:val="false"/>
          <w:i w:val="false"/>
          <w:color w:val="000000"/>
          <w:sz w:val="22"/>
        </w:rPr>
        <w:t> </w:t>
      </w:r>
      <w:r>
        <w:rPr>
          <w:rFonts w:ascii="Times New Roman" w:hAnsi="Times New Roman"/>
          <w:b w:val="false"/>
          <w:i/>
          <w:color w:val="000000"/>
          <w:sz w:val="22"/>
        </w:rPr>
        <w:t xml:space="preserve">Role of presiding officer.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11.19(2)</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11.19(3)</w:t>
      </w:r>
      <w:r>
        <w:rPr>
          <w:rFonts w:ascii="Times New Roman" w:hAnsi="Times New Roman"/>
          <w:b w:val="false"/>
          <w:i w:val="false"/>
          <w:color w:val="000000"/>
          <w:sz w:val="22"/>
        </w:rPr>
        <w:t> </w:t>
      </w:r>
      <w:r>
        <w:rPr>
          <w:rFonts w:ascii="Times New Roman" w:hAnsi="Times New Roman"/>
          <w:b w:val="false"/>
          <w:i/>
          <w:color w:val="000000"/>
          <w:sz w:val="22"/>
        </w:rPr>
        <w:t xml:space="preserve">Representation.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11.19(4)</w:t>
      </w:r>
      <w:r>
        <w:rPr>
          <w:rFonts w:ascii="Times New Roman" w:hAnsi="Times New Roman"/>
          <w:b w:val="false"/>
          <w:i w:val="false"/>
          <w:color w:val="000000"/>
          <w:sz w:val="22"/>
        </w:rPr>
        <w:t> </w:t>
      </w:r>
      <w:r>
        <w:rPr>
          <w:rFonts w:ascii="Times New Roman" w:hAnsi="Times New Roman"/>
          <w:b w:val="false"/>
          <w:i/>
          <w:color w:val="000000"/>
          <w:sz w:val="22"/>
        </w:rPr>
        <w:t xml:space="preserve">Procedural rights.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 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11.19(5)</w:t>
      </w:r>
      <w:r>
        <w:rPr>
          <w:rFonts w:ascii="Times New Roman" w:hAnsi="Times New Roman"/>
          <w:b w:val="false"/>
          <w:i w:val="false"/>
          <w:color w:val="000000"/>
          <w:sz w:val="22"/>
        </w:rPr>
        <w:t> </w:t>
      </w:r>
      <w:r>
        <w:rPr>
          <w:rFonts w:ascii="Times New Roman" w:hAnsi="Times New Roman"/>
          <w:b w:val="false"/>
          <w:i/>
          <w:color w:val="000000"/>
          <w:sz w:val="22"/>
        </w:rPr>
        <w:t xml:space="preserve">Decorum.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11.19(6)</w:t>
      </w:r>
      <w:r>
        <w:rPr>
          <w:rFonts w:ascii="Times New Roman" w:hAnsi="Times New Roman"/>
          <w:b w:val="false"/>
          <w:i w:val="false"/>
          <w:color w:val="000000"/>
          <w:sz w:val="22"/>
        </w:rPr>
        <w:t> </w:t>
      </w:r>
      <w:r>
        <w:rPr>
          <w:rFonts w:ascii="Times New Roman" w:hAnsi="Times New Roman"/>
          <w:b w:val="false"/>
          <w:i/>
          <w:color w:val="000000"/>
          <w:sz w:val="22"/>
        </w:rPr>
        <w:t xml:space="preserve">Hearing process.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11.19(7)</w:t>
      </w:r>
      <w:r>
        <w:rPr>
          <w:rFonts w:ascii="Times New Roman" w:hAnsi="Times New Roman"/>
          <w:b w:val="false"/>
          <w:i w:val="false"/>
          <w:color w:val="000000"/>
          <w:sz w:val="22"/>
        </w:rPr>
        <w:t> </w:t>
      </w:r>
      <w:r>
        <w:rPr>
          <w:rFonts w:ascii="Times New Roman" w:hAnsi="Times New Roman"/>
          <w:b w:val="false"/>
          <w:i/>
          <w:color w:val="000000"/>
          <w:sz w:val="22"/>
        </w:rPr>
        <w:t xml:space="preserve">Proposed order. </w:t>
      </w:r>
      <w:r>
        <w:rPr>
          <w:rFonts w:ascii="Times New Roman" w:hAnsi="Times New Roman"/>
          <w:b w:val="false"/>
          <w:i w:val="false"/>
          <w:color w:val="000000"/>
          <w:sz w:val="22"/>
        </w:rPr>
        <w:t>Within seven days after the closing of the hearing, either party may file a proposed order for the consideration of the presiding officer, who may adopt all or part of any proposed order. Copies of a proposed order shall be provided to the opposing party.</w:t>
      </w:r>
    </w:p>
    <w:p>
      <w:pPr>
        <w:spacing w:before="0" w:after="0"/>
        <w:ind w:left="120"/>
        <w:jc w:val="both"/>
      </w:pPr>
      <w:r>
        <w:rPr>
          <w:rFonts w:ascii="Times New Roman" w:hAnsi="Times New Roman"/>
          <w:b/>
          <w:i w:val="false"/>
          <w:color w:val="000000"/>
          <w:sz w:val="22"/>
        </w:rPr>
        <w:t>351—11.20</w:t>
      </w:r>
      <w:r>
        <w:rPr>
          <w:rFonts w:ascii="Times New Roman" w:hAnsi="Times New Roman"/>
          <w:b/>
          <w:i w:val="false"/>
          <w:color w:val="000000"/>
          <w:sz w:val="22"/>
        </w:rPr>
        <w:t xml:space="preserve">(17A,68B)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11.20(1)</w:t>
      </w:r>
      <w:r>
        <w:rPr>
          <w:rFonts w:ascii="Times New Roman" w:hAnsi="Times New Roman"/>
          <w:b w:val="false"/>
          <w:i w:val="false"/>
          <w:color w:val="000000"/>
          <w:sz w:val="22"/>
        </w:rPr>
        <w:t> </w:t>
      </w:r>
      <w:r>
        <w:rPr>
          <w:rFonts w:ascii="Times New Roman" w:hAnsi="Times New Roman"/>
          <w:b w:val="false"/>
          <w:i/>
          <w:color w:val="000000"/>
          <w:sz w:val="22"/>
        </w:rPr>
        <w:t xml:space="preserve">Admissibility.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11.20(2)</w:t>
      </w:r>
      <w:r>
        <w:rPr>
          <w:rFonts w:ascii="Times New Roman" w:hAnsi="Times New Roman"/>
          <w:b w:val="false"/>
          <w:i w:val="false"/>
          <w:color w:val="000000"/>
          <w:sz w:val="22"/>
        </w:rPr>
        <w:t> </w:t>
      </w:r>
      <w:r>
        <w:rPr>
          <w:rFonts w:ascii="Times New Roman" w:hAnsi="Times New Roman"/>
          <w:b w:val="false"/>
          <w:i/>
          <w:color w:val="000000"/>
          <w:sz w:val="22"/>
        </w:rPr>
        <w:t xml:space="preserve">Stipulation of facts.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11.20(3)</w:t>
      </w:r>
      <w:r>
        <w:rPr>
          <w:rFonts w:ascii="Times New Roman" w:hAnsi="Times New Roman"/>
          <w:b w:val="false"/>
          <w:i w:val="false"/>
          <w:color w:val="000000"/>
          <w:sz w:val="22"/>
        </w:rPr>
        <w:t> </w:t>
      </w:r>
      <w:r>
        <w:rPr>
          <w:rFonts w:ascii="Times New Roman" w:hAnsi="Times New Roman"/>
          <w:b w:val="false"/>
          <w:i/>
          <w:color w:val="000000"/>
          <w:sz w:val="22"/>
        </w:rPr>
        <w:t xml:space="preserve">Limitation of evidence.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11.20(4)</w:t>
      </w:r>
      <w:r>
        <w:rPr>
          <w:rFonts w:ascii="Times New Roman" w:hAnsi="Times New Roman"/>
          <w:b w:val="false"/>
          <w:i w:val="false"/>
          <w:color w:val="000000"/>
          <w:sz w:val="22"/>
        </w:rPr>
        <w:t> </w:t>
      </w:r>
      <w:r>
        <w:rPr>
          <w:rFonts w:ascii="Times New Roman" w:hAnsi="Times New Roman"/>
          <w:b w:val="false"/>
          <w:i/>
          <w:color w:val="000000"/>
          <w:sz w:val="22"/>
        </w:rPr>
        <w:t xml:space="preserve">Exhibits.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11.20(5)</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11.20(6)</w:t>
      </w:r>
      <w:r>
        <w:rPr>
          <w:rFonts w:ascii="Times New Roman" w:hAnsi="Times New Roman"/>
          <w:b w:val="false"/>
          <w:i w:val="false"/>
          <w:color w:val="000000"/>
          <w:sz w:val="22"/>
        </w:rPr>
        <w:t> </w:t>
      </w:r>
      <w:r>
        <w:rPr>
          <w:rFonts w:ascii="Times New Roman" w:hAnsi="Times New Roman"/>
          <w:b w:val="false"/>
          <w:i/>
          <w:color w:val="000000"/>
          <w:sz w:val="22"/>
        </w:rPr>
        <w:t xml:space="preserve">Offer of proof.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351—11.21</w:t>
      </w:r>
      <w:r>
        <w:rPr>
          <w:rFonts w:ascii="Times New Roman" w:hAnsi="Times New Roman"/>
          <w:b/>
          <w:i w:val="false"/>
          <w:color w:val="000000"/>
          <w:sz w:val="22"/>
        </w:rPr>
        <w:t xml:space="preserve">(17A,68B)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w:t>
      </w:r>
      <w:r>
        <w:rPr>
          <w:rFonts w:ascii="Times New Roman" w:hAnsi="Times New Roman"/>
          <w:b w:val="false"/>
          <w:i w:val="false"/>
          <w:color w:val="000000"/>
          <w:sz w:val="22"/>
        </w:rPr>
        <w:t> </w:t>
      </w:r>
      <w:r>
        <w:rPr>
          <w:rFonts w:ascii="Times New Roman" w:hAnsi="Times New Roman"/>
          <w:b w:val="false"/>
          <w:i/>
          <w:color w:val="000000"/>
          <w:sz w:val="22"/>
        </w:rPr>
        <w:t xml:space="preserve">Failure to appear. </w:t>
      </w:r>
      <w:r>
        <w:rPr>
          <w:rFonts w:ascii="Times New Roman" w:hAnsi="Times New Roman"/>
          <w:b w:val="false"/>
          <w:i w:val="false"/>
          <w:color w:val="000000"/>
          <w:sz w:val="22"/>
        </w:rPr>
        <w:t>If a party fails to appear or participate in a contested case proceeding after proper service of notice, the presiding officer may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w:t>
      </w:r>
      <w:r>
        <w:rPr>
          <w:rFonts w:ascii="Times New Roman" w:hAnsi="Times New Roman"/>
          <w:b w:val="false"/>
          <w:i w:val="false"/>
          <w:color w:val="000000"/>
          <w:sz w:val="22"/>
        </w:rPr>
        <w:t> </w:t>
      </w:r>
      <w:r>
        <w:rPr>
          <w:rFonts w:ascii="Times New Roman" w:hAnsi="Times New Roman"/>
          <w:b w:val="false"/>
          <w:i/>
          <w:color w:val="000000"/>
          <w:sz w:val="22"/>
        </w:rPr>
        <w:t xml:space="preserve">Motion for default.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agency action unless, within 14 days after the date of notification or mailing of the decision, a motion to vacate is filed and served on all parties or an appeal of a decision on the merits is timely initiated within the time provided by </w:t>
      </w:r>
      <w:hyperlink r:id="rId21">
        <w:r>
          <w:rPr>
            <w:rStyle w:val="Hyperlink"/>
            <w:rFonts w:ascii="Times New Roman" w:hAnsi="Times New Roman"/>
            <w:b w:val="false"/>
            <w:i w:val="false"/>
            <w:color w:val="000000"/>
            <w:sz w:val="22"/>
          </w:rPr>
          <w:t>rule 351—11.26(17A,68B)</w:t>
        </w:r>
      </w:hyperlink>
      <w:r>
        <w:rPr>
          <w:rFonts w:ascii="Times New Roman" w:hAnsi="Times New Roman"/>
          <w:b w:val="false"/>
          <w:i w:val="false"/>
          <w:color w:val="000000"/>
          <w:sz w:val="22"/>
        </w:rPr>
        <w:t>. A motion to vacate must state all facts relied upon by the moving party that establish good cause existed for that party’s failure to appear or participate at the contested case proceeding. Each fact so stated must be substantiated by at least one sworn affidavit of a person with personal knowledge of each such fact.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11.21(4)</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11.21(5)</w:t>
      </w:r>
      <w:r>
        <w:rPr>
          <w:rFonts w:ascii="Times New Roman" w:hAnsi="Times New Roman"/>
          <w:b w:val="false"/>
          <w:i w:val="false"/>
          <w:color w:val="000000"/>
          <w:sz w:val="22"/>
        </w:rPr>
        <w:t> </w:t>
      </w:r>
      <w:r>
        <w:rPr>
          <w:rFonts w:ascii="Times New Roman" w:hAnsi="Times New Roman"/>
          <w:b w:val="false"/>
          <w:i/>
          <w:color w:val="000000"/>
          <w:sz w:val="22"/>
        </w:rPr>
        <w:t xml:space="preserve">Motion to vacate.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If a request to do so is filed in a response, adverse parties shall be allowed to conduct discovery as to the issue of good cause and to present evidence on the issue prior to a decision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11.21(6)</w:t>
      </w: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11.21(7)</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w:t>
      </w:r>
      <w:hyperlink r:id="rId22">
        <w:r>
          <w:rPr>
            <w:rStyle w:val="Hyperlink"/>
            <w:rFonts w:ascii="Times New Roman" w:hAnsi="Times New Roman"/>
            <w:b w:val="false"/>
            <w:i w:val="false"/>
            <w:color w:val="000000"/>
            <w:sz w:val="22"/>
          </w:rPr>
          <w:t>rule 351—11.24(17A,68B)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11.21(8)</w:t>
      </w:r>
      <w:r>
        <w:rPr>
          <w:rFonts w:ascii="Times New Roman" w:hAnsi="Times New Roman"/>
          <w:b w:val="false"/>
          <w:i w:val="false"/>
          <w:color w:val="000000"/>
          <w:sz w:val="22"/>
        </w:rPr>
        <w:t> </w:t>
      </w:r>
      <w:r>
        <w:rPr>
          <w:rFonts w:ascii="Times New Roman" w:hAnsi="Times New Roman"/>
          <w:b w:val="false"/>
          <w:i/>
          <w:color w:val="000000"/>
          <w:sz w:val="22"/>
        </w:rPr>
        <w:t xml:space="preserve">Hearing reopened.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11.21(9)</w:t>
      </w:r>
      <w:r>
        <w:rPr>
          <w:rFonts w:ascii="Times New Roman" w:hAnsi="Times New Roman"/>
          <w:b w:val="false"/>
          <w:i w:val="false"/>
          <w:color w:val="000000"/>
          <w:sz w:val="22"/>
        </w:rPr>
        <w:t> </w:t>
      </w:r>
      <w:r>
        <w:rPr>
          <w:rFonts w:ascii="Times New Roman" w:hAnsi="Times New Roman"/>
          <w:b w:val="false"/>
          <w:i/>
          <w:color w:val="000000"/>
          <w:sz w:val="22"/>
        </w:rPr>
        <w:t xml:space="preserve">Relief granted.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11.21(10)</w:t>
      </w:r>
      <w:r>
        <w:rPr>
          <w:rFonts w:ascii="Times New Roman" w:hAnsi="Times New Roman"/>
          <w:b w:val="false"/>
          <w:i w:val="false"/>
          <w:color w:val="000000"/>
          <w:sz w:val="22"/>
        </w:rPr>
        <w:t> </w:t>
      </w:r>
      <w:r>
        <w:rPr>
          <w:rFonts w:ascii="Times New Roman" w:hAnsi="Times New Roman"/>
          <w:b w:val="false"/>
          <w:i/>
          <w:color w:val="000000"/>
          <w:sz w:val="22"/>
        </w:rPr>
        <w:t xml:space="preserve">Timing of stay. </w:t>
      </w:r>
      <w:r>
        <w:rPr>
          <w:rFonts w:ascii="Times New Roman" w:hAnsi="Times New Roman"/>
          <w:b w:val="false"/>
          <w:i w:val="false"/>
          <w:color w:val="000000"/>
          <w:sz w:val="22"/>
        </w:rPr>
        <w:t>A default decision may provide either that the default decision is to be stayed pending a timely motion to vacate or that the default decision is to take effect immediately, subject to a request for stay.</w:t>
      </w:r>
    </w:p>
    <w:p>
      <w:pPr>
        <w:spacing w:before="0" w:after="0"/>
        <w:ind w:left="120"/>
        <w:jc w:val="both"/>
      </w:pPr>
      <w:r>
        <w:rPr>
          <w:rFonts w:ascii="Times New Roman" w:hAnsi="Times New Roman"/>
          <w:b/>
          <w:i w:val="false"/>
          <w:color w:val="000000"/>
          <w:sz w:val="22"/>
        </w:rPr>
        <w:t>351—11.22</w:t>
      </w:r>
      <w:r>
        <w:rPr>
          <w:rFonts w:ascii="Times New Roman" w:hAnsi="Times New Roman"/>
          <w:b/>
          <w:i w:val="false"/>
          <w:color w:val="000000"/>
          <w:sz w:val="22"/>
        </w:rPr>
        <w:t xml:space="preserve">(17A,68B)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11.22(1)</w:t>
      </w:r>
      <w:r>
        <w:rPr>
          <w:rFonts w:ascii="Times New Roman" w:hAnsi="Times New Roman"/>
          <w:b w:val="false"/>
          <w:i w:val="false"/>
          <w:color w:val="000000"/>
          <w:sz w:val="22"/>
        </w:rPr>
        <w:t> </w:t>
      </w:r>
      <w:r>
        <w:rPr>
          <w:rFonts w:ascii="Times New Roman" w:hAnsi="Times New Roman"/>
          <w:b w:val="false"/>
          <w:i/>
          <w:color w:val="000000"/>
          <w:sz w:val="22"/>
        </w:rPr>
        <w:t xml:space="preserve">Prohibited communications. </w:t>
      </w:r>
      <w:r>
        <w:rPr>
          <w:rFonts w:ascii="Times New Roman" w:hAnsi="Times New Roman"/>
          <w:b w:val="false"/>
          <w:i w:val="false"/>
          <w:color w:val="000000"/>
          <w:sz w:val="22"/>
        </w:rPr>
        <w:t xml:space="preserve">Following issuance of the notice of hearing, there shall be no communication, directly or indirectly, between any party or representative of any party in connection with any issue of fact or law in a case and any person assigned to render a proposed or final decision or make findings of fact or conclusions of law except upon notice and opportunity for all parties to participate. This does not prohibit persons jointly assigned such tasks from communicating with each other. Nothing in this provision is intended to preclude persons assigned to render a proposed or final decision in a contested case or to make findings of fact or conclusions of law in such a case from seeking the advice or help of persons other than those with personal interest in, or those engaged in personally investigating as defined in </w:t>
      </w:r>
      <w:hyperlink r:id="rId23">
        <w:r>
          <w:rPr>
            <w:rStyle w:val="Hyperlink"/>
            <w:rFonts w:ascii="Times New Roman" w:hAnsi="Times New Roman"/>
            <w:b w:val="false"/>
            <w:i w:val="false"/>
            <w:color w:val="000000"/>
            <w:sz w:val="22"/>
          </w:rPr>
          <w:t>subrule 11.8(1)</w:t>
        </w:r>
      </w:hyperlink>
      <w:r>
        <w:rPr>
          <w:rFonts w:ascii="Times New Roman" w:hAnsi="Times New Roman"/>
          <w:b w:val="false"/>
          <w:i w:val="false"/>
          <w:color w:val="000000"/>
          <w:sz w:val="22"/>
        </w:rPr>
        <w:t xml:space="preserve">, prosecuting, or advocating in, either the case under consideration or a pending factually related case involving the same parties as long as that advice or help does not violate Iowa Code subsection </w:t>
      </w:r>
      <w:hyperlink r:id="rId24">
        <w:r>
          <w:rPr>
            <w:rStyle w:val="Hyperlink"/>
            <w:rFonts w:ascii="Times New Roman" w:hAnsi="Times New Roman"/>
            <w:b w:val="false"/>
            <w:i w:val="false"/>
            <w:color w:val="000000"/>
            <w:sz w:val="22"/>
          </w:rPr>
          <w:t>17A.12(8)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11.22(2)</w:t>
      </w:r>
      <w:r>
        <w:rPr>
          <w:rFonts w:ascii="Times New Roman" w:hAnsi="Times New Roman"/>
          <w:b w:val="false"/>
          <w:i w:val="false"/>
          <w:color w:val="000000"/>
          <w:sz w:val="22"/>
        </w:rPr>
        <w:t> </w:t>
      </w:r>
      <w:r>
        <w:rPr>
          <w:rFonts w:ascii="Times New Roman" w:hAnsi="Times New Roman"/>
          <w:b w:val="false"/>
          <w:i/>
          <w:color w:val="000000"/>
          <w:sz w:val="22"/>
        </w:rPr>
        <w:t xml:space="preserve">Disclosure of prohibited communications. </w:t>
      </w:r>
      <w:r>
        <w:rPr>
          <w:rFonts w:ascii="Times New Roman" w:hAnsi="Times New Roman"/>
          <w:b w:val="false"/>
          <w:i w:val="false"/>
          <w:color w:val="000000"/>
          <w:sz w:val="22"/>
        </w:rPr>
        <w:t xml:space="preserve">Any person who receives a communication prohibited by </w:t>
      </w:r>
      <w:hyperlink r:id="rId25">
        <w:r>
          <w:rPr>
            <w:rStyle w:val="Hyperlink"/>
            <w:rFonts w:ascii="Times New Roman" w:hAnsi="Times New Roman"/>
            <w:b w:val="false"/>
            <w:i w:val="false"/>
            <w:color w:val="000000"/>
            <w:sz w:val="22"/>
          </w:rPr>
          <w:t>subrule 11.22(1)</w:t>
        </w:r>
      </w:hyperlink>
      <w:r>
        <w:rPr>
          <w:rFonts w:ascii="Times New Roman" w:hAnsi="Times New Roman"/>
          <w:b w:val="false"/>
          <w:i w:val="false"/>
          <w:color w:val="000000"/>
          <w:sz w:val="22"/>
        </w:rPr>
        <w:t xml:space="preserve"> shall disclose that communication to all parties. A copy of any prohibited written communication or a summary of any prohibited oral communication shall be submitted for inclusion in the record. Any party desiring to rebut the prohibited ex parte communication must be allowed to do so, upon requesting the opportunity for rebuttal within ten days after notice of the communication. If the effect of an ex parte communication is so prejudicial that it cannot be cured by disclosure and rebuttal, a presiding officer who receives the communication shall be disqualified and the portions of the record pertaining to the communication shall be sealed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11.22(3)</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The board and any party may report any violation of this rule to appropriate authorities for any disciplinary proceedings provided by law. The presiding officer or the board may impose appropriate sanctions for violations of this rule. Possible sanctions include a decision against the offending party; censure, suspension, or revocation of the privilege to practice before the board; and censure, suspension, dismissal, or other disciplinary action against board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11.22(4)</w:t>
      </w:r>
      <w:r>
        <w:rPr>
          <w:rFonts w:ascii="Times New Roman" w:hAnsi="Times New Roman"/>
          <w:b w:val="false"/>
          <w:i w:val="false"/>
          <w:color w:val="000000"/>
          <w:sz w:val="22"/>
        </w:rPr>
        <w:t> </w:t>
      </w:r>
      <w:r>
        <w:rPr>
          <w:rFonts w:ascii="Times New Roman" w:hAnsi="Times New Roman"/>
          <w:b w:val="false"/>
          <w:i/>
          <w:color w:val="000000"/>
          <w:sz w:val="22"/>
        </w:rPr>
        <w:t xml:space="preserve">Affidavit. </w:t>
      </w:r>
      <w:r>
        <w:rPr>
          <w:rFonts w:ascii="Times New Roman" w:hAnsi="Times New Roman"/>
          <w:b w:val="false"/>
          <w:i w:val="false"/>
          <w:color w:val="000000"/>
          <w:sz w:val="22"/>
        </w:rPr>
        <w:t>A party to a contested case proceeding may file a timely and sufficient affidavit alleging a violation of any provision of this rule. The board shall determine the matter as part of the record in the case. When the board makes such a determination with respect to a board member or board employee, that determination shall be subject to de novo judicial review in any subsequent review proceeding of the case.</w:t>
      </w:r>
    </w:p>
    <w:p>
      <w:pPr>
        <w:spacing w:before="210" w:after="0"/>
        <w:ind w:left="120"/>
        <w:jc w:val="both"/>
      </w:pPr>
      <w:r>
        <w:rPr>
          <w:rFonts w:ascii="Times New Roman" w:hAnsi="Times New Roman"/>
          <w:b/>
          <w:i w:val="false"/>
          <w:color w:val="000000"/>
          <w:sz w:val="22"/>
        </w:rPr>
        <w:t>351—11.23</w:t>
      </w:r>
      <w:r>
        <w:rPr>
          <w:rFonts w:ascii="Times New Roman" w:hAnsi="Times New Roman"/>
          <w:b/>
          <w:i w:val="false"/>
          <w:color w:val="000000"/>
          <w:sz w:val="22"/>
        </w:rPr>
        <w:t xml:space="preserve">(17A,68B)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board shall provide a copy of the whole or any portion of the record at cost. The cost of preparing a copy of the record or of transcribing the hearing record shall be paid by the requesting party. Parties who request that a hearing be recorded by certified shorthand reporters rather than by electronic means shall bear the cost of that recordation, unless otherwise provided by law.</w:t>
      </w:r>
    </w:p>
    <w:p>
      <w:pPr>
        <w:spacing w:before="210" w:after="0"/>
        <w:ind w:left="120"/>
        <w:jc w:val="both"/>
      </w:pPr>
      <w:r>
        <w:rPr>
          <w:rFonts w:ascii="Times New Roman" w:hAnsi="Times New Roman"/>
          <w:b/>
          <w:i w:val="false"/>
          <w:color w:val="000000"/>
          <w:sz w:val="22"/>
        </w:rPr>
        <w:t>351—11.24</w:t>
      </w:r>
      <w:r>
        <w:rPr>
          <w:rFonts w:ascii="Times New Roman" w:hAnsi="Times New Roman"/>
          <w:b/>
          <w:i w:val="false"/>
          <w:color w:val="000000"/>
          <w:sz w:val="22"/>
        </w:rPr>
        <w:t xml:space="preserve">(17A,68B)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order of the presiding officer. In determining whether to do so, the board shall weigh the extent to which its granting the interlocutory appeal would expedite final resolution of the case and the extent to which review of that interlocutory order by the board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210" w:after="0"/>
        <w:ind w:left="120"/>
        <w:jc w:val="both"/>
      </w:pPr>
      <w:r>
        <w:rPr>
          <w:rFonts w:ascii="Times New Roman" w:hAnsi="Times New Roman"/>
          <w:b/>
          <w:i w:val="false"/>
          <w:color w:val="000000"/>
          <w:sz w:val="22"/>
        </w:rPr>
        <w:t>351—11.25</w:t>
      </w:r>
      <w:r>
        <w:rPr>
          <w:rFonts w:ascii="Times New Roman" w:hAnsi="Times New Roman"/>
          <w:b/>
          <w:i w:val="false"/>
          <w:color w:val="000000"/>
          <w:sz w:val="22"/>
        </w:rPr>
        <w:t xml:space="preserve">(17A,68B) </w:t>
      </w:r>
      <w:r>
        <w:rPr>
          <w:rFonts w:ascii="Times New Roman" w:hAnsi="Times New Roman"/>
          <w:b/>
          <w:i w:val="false"/>
          <w:color w:val="000000"/>
          <w:sz w:val="22"/>
        </w:rPr>
        <w:t xml:space="preserve">Final decision. </w:t>
      </w:r>
      <w:r>
        <w:rPr>
          <w:rFonts w:ascii="Times New Roman" w:hAnsi="Times New Roman"/>
          <w:b w:val="false"/>
          <w:i w:val="false"/>
          <w:color w:val="000000"/>
          <w:sz w:val="22"/>
        </w:rPr>
        <w:t xml:space="preserve">The board shall automatically conduct a review of all proposed decisions that are issued by a presiding officer. The proposed decision becomes the final decision of the board without further proceedings unless there is a proper application for rehearing under </w:t>
      </w:r>
      <w:hyperlink r:id="rId26">
        <w:r>
          <w:rPr>
            <w:rStyle w:val="Hyperlink"/>
            <w:rFonts w:ascii="Times New Roman" w:hAnsi="Times New Roman"/>
            <w:b w:val="false"/>
            <w:i w:val="false"/>
            <w:color w:val="000000"/>
            <w:sz w:val="22"/>
          </w:rPr>
          <w:t>rule 351—11.27(17A,68B)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351—11.26</w:t>
      </w:r>
      <w:r>
        <w:rPr>
          <w:rFonts w:ascii="Times New Roman" w:hAnsi="Times New Roman"/>
          <w:b/>
          <w:i w:val="false"/>
          <w:color w:val="000000"/>
          <w:sz w:val="22"/>
        </w:rPr>
        <w:t xml:space="preserve">(17A,68B) </w:t>
      </w:r>
      <w:r>
        <w:rPr>
          <w:rFonts w:ascii="Times New Roman" w:hAnsi="Times New Roman"/>
          <w:b/>
          <w:i w:val="false"/>
          <w:color w:val="000000"/>
          <w:sz w:val="22"/>
        </w:rPr>
        <w:t xml:space="preserve">Board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w:t>
      </w:r>
      <w:r>
        <w:rPr>
          <w:rFonts w:ascii="Times New Roman" w:hAnsi="Times New Roman"/>
          <w:b w:val="false"/>
          <w:i w:val="false"/>
          <w:color w:val="000000"/>
          <w:sz w:val="22"/>
        </w:rPr>
        <w:t> </w:t>
      </w:r>
      <w:r>
        <w:rPr>
          <w:rFonts w:ascii="Times New Roman" w:hAnsi="Times New Roman"/>
          <w:b w:val="false"/>
          <w:i/>
          <w:color w:val="000000"/>
          <w:sz w:val="22"/>
        </w:rPr>
        <w:t xml:space="preserve">Statement of exceptions. </w:t>
      </w:r>
      <w:r>
        <w:rPr>
          <w:rFonts w:ascii="Times New Roman" w:hAnsi="Times New Roman"/>
          <w:b w:val="false"/>
          <w:i w:val="false"/>
          <w:color w:val="000000"/>
          <w:sz w:val="22"/>
        </w:rPr>
        <w:t>Within 14 days after issuance of a proposed decision, any party may serve a statement of exceptions taken with the proposed decision, if any, together with a brief and argument, if any, by delivery of the original and five copies of each document to the board’s legal counsel, and shall also serve copies to the opposing party. This time requirement may be extended by stipulation of the parties and approval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11.26(2)</w:t>
      </w:r>
      <w:r>
        <w:rPr>
          <w:rFonts w:ascii="Times New Roman" w:hAnsi="Times New Roman"/>
          <w:b w:val="false"/>
          <w:i w:val="false"/>
          <w:color w:val="000000"/>
          <w:sz w:val="22"/>
        </w:rPr>
        <w:t> </w:t>
      </w:r>
      <w:r>
        <w:rPr>
          <w:rFonts w:ascii="Times New Roman" w:hAnsi="Times New Roman"/>
          <w:b w:val="false"/>
          <w:i/>
          <w:color w:val="000000"/>
          <w:sz w:val="22"/>
        </w:rPr>
        <w:t xml:space="preserve">Request for oral argument. </w:t>
      </w:r>
      <w:r>
        <w:rPr>
          <w:rFonts w:ascii="Times New Roman" w:hAnsi="Times New Roman"/>
          <w:b w:val="false"/>
          <w:i w:val="false"/>
          <w:color w:val="000000"/>
          <w:sz w:val="22"/>
        </w:rPr>
        <w:t>At the time designated for filing briefs and arguments, either party may request oral argument. The board may complete its review on the briefs or may grant an opportunity for oral argument. If a request for oral argument is granted or such is required by the board on its own motion, the board’s legal counsel shall notify all parties of the date, time, and place. The chairperson or the chairperson’s designee shall preside at the oral argument and determine the procedural order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11.26(3)</w:t>
      </w:r>
      <w:r>
        <w:rPr>
          <w:rFonts w:ascii="Times New Roman" w:hAnsi="Times New Roman"/>
          <w:b w:val="false"/>
          <w:i w:val="false"/>
          <w:color w:val="000000"/>
          <w:sz w:val="22"/>
        </w:rPr>
        <w:t> </w:t>
      </w:r>
      <w:r>
        <w:rPr>
          <w:rFonts w:ascii="Times New Roman" w:hAnsi="Times New Roman"/>
          <w:b w:val="false"/>
          <w:i/>
          <w:color w:val="000000"/>
          <w:sz w:val="22"/>
        </w:rPr>
        <w:t xml:space="preserve">Record on review. </w:t>
      </w:r>
      <w:r>
        <w:rPr>
          <w:rFonts w:ascii="Times New Roman" w:hAnsi="Times New Roman"/>
          <w:b w:val="false"/>
          <w:i w:val="false"/>
          <w:color w:val="000000"/>
          <w:sz w:val="22"/>
        </w:rPr>
        <w:t>The record on review shall be the entire record made before the hearing panel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11.26(4)</w:t>
      </w:r>
      <w:r>
        <w:rPr>
          <w:rFonts w:ascii="Times New Roman" w:hAnsi="Times New Roman"/>
          <w:b w:val="false"/>
          <w:i w:val="false"/>
          <w:color w:val="000000"/>
          <w:sz w:val="22"/>
        </w:rPr>
        <w:t> </w:t>
      </w:r>
      <w:r>
        <w:rPr>
          <w:rFonts w:ascii="Times New Roman" w:hAnsi="Times New Roman"/>
          <w:b w:val="false"/>
          <w:i/>
          <w:color w:val="000000"/>
          <w:sz w:val="22"/>
        </w:rPr>
        <w:t xml:space="preserve">Additional evidence. </w:t>
      </w:r>
      <w:r>
        <w:rPr>
          <w:rFonts w:ascii="Times New Roman" w:hAnsi="Times New Roman"/>
          <w:b w:val="false"/>
          <w:i w:val="false"/>
          <w:color w:val="000000"/>
          <w:sz w:val="22"/>
        </w:rPr>
        <w:t>A written request to present additional evidence must be filed within 14 days of issuance of the proposed decision. The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11.26(5)</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The board’s decision on review of a proposed decision is a final decision.</w:t>
      </w:r>
    </w:p>
    <w:p>
      <w:pPr>
        <w:spacing w:before="0" w:after="0"/>
        <w:ind w:left="120"/>
        <w:jc w:val="both"/>
      </w:pPr>
      <w:r>
        <w:rPr>
          <w:rFonts w:ascii="Times New Roman" w:hAnsi="Times New Roman"/>
          <w:b/>
          <w:i w:val="false"/>
          <w:color w:val="000000"/>
          <w:sz w:val="22"/>
        </w:rPr>
        <w:t>351—11.27</w:t>
      </w:r>
      <w:r>
        <w:rPr>
          <w:rFonts w:ascii="Times New Roman" w:hAnsi="Times New Roman"/>
          <w:b/>
          <w:i w:val="false"/>
          <w:color w:val="000000"/>
          <w:sz w:val="22"/>
        </w:rPr>
        <w:t xml:space="preserve">(17A,68B) </w:t>
      </w:r>
      <w:r>
        <w:rPr>
          <w:rFonts w:ascii="Times New Roman" w:hAnsi="Times New Roman"/>
          <w:b/>
          <w:i w:val="false"/>
          <w:color w:val="000000"/>
          <w:sz w:val="22"/>
        </w:rPr>
        <w:t xml:space="preserve">Application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The application shall state whether the applicant desires reconsideration of all or part of the board decision on the existing record and whether, on the basis of the grounds enumerated in </w:t>
      </w:r>
      <w:hyperlink r:id="rId27">
        <w:r>
          <w:rPr>
            <w:rStyle w:val="Hyperlink"/>
            <w:rFonts w:ascii="Times New Roman" w:hAnsi="Times New Roman"/>
            <w:b w:val="false"/>
            <w:i w:val="false"/>
            <w:color w:val="000000"/>
            <w:sz w:val="22"/>
          </w:rPr>
          <w:t>subrule 11.26(4)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board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board grants the application within 20 days after its filing.</w:t>
      </w:r>
    </w:p>
    <w:p>
      <w:pPr>
        <w:spacing w:before="0" w:after="0"/>
        <w:ind w:left="120"/>
        <w:jc w:val="both"/>
      </w:pPr>
      <w:r>
        <w:rPr>
          <w:rFonts w:ascii="Times New Roman" w:hAnsi="Times New Roman"/>
          <w:b/>
          <w:i w:val="false"/>
          <w:color w:val="000000"/>
          <w:sz w:val="22"/>
        </w:rPr>
        <w:t>351—11.28</w:t>
      </w:r>
      <w:r>
        <w:rPr>
          <w:rFonts w:ascii="Times New Roman" w:hAnsi="Times New Roman"/>
          <w:b/>
          <w:i w:val="false"/>
          <w:color w:val="000000"/>
          <w:sz w:val="22"/>
        </w:rPr>
        <w:t xml:space="preserve">(17A,68B) </w:t>
      </w:r>
      <w:r>
        <w:rPr>
          <w:rFonts w:ascii="Times New Roman" w:hAnsi="Times New Roman"/>
          <w:b/>
          <w:i w:val="false"/>
          <w:color w:val="000000"/>
          <w:sz w:val="22"/>
        </w:rPr>
        <w:t xml:space="preserve">Stay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of an order issued in that proceeding pending review by the board. The petition for a stay shall be filed with the statement of exceptions and shall state the reasons justifying a stay. The board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pending judicial review of all or part of that proceeding. The petition for a stay shall state the reasons justifying a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In determining whether to grant a stay, the presiding officer or board, as appropriate, shall consider whether substantial questions exist as to the propriety of the order for which a stay is requested, whether the party will suffer substantial and irreparable injury without the stay, and whether the interests of the public and other persons will be adversely affected by such a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board or any other party.</w:t>
      </w:r>
    </w:p>
    <w:p>
      <w:pPr>
        <w:spacing w:before="210" w:after="0"/>
        <w:ind w:left="120"/>
        <w:jc w:val="both"/>
      </w:pPr>
      <w:r>
        <w:rPr>
          <w:rFonts w:ascii="Times New Roman" w:hAnsi="Times New Roman"/>
          <w:b/>
          <w:i w:val="false"/>
          <w:color w:val="000000"/>
          <w:sz w:val="22"/>
        </w:rPr>
        <w:t>351—11.29</w:t>
      </w:r>
      <w:r>
        <w:rPr>
          <w:rFonts w:ascii="Times New Roman" w:hAnsi="Times New Roman"/>
          <w:b/>
          <w:i w:val="false"/>
          <w:color w:val="000000"/>
          <w:sz w:val="22"/>
        </w:rPr>
        <w:t xml:space="preserve">(17A,68B)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shall be submitted to the presiding officer for approval as soon as practicable. If the parties cannot agree, any party may file and serve a motion for summary judgment pursuant to the rules governing such motions.</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Iowa Code sections </w:t>
      </w:r>
      <w:hyperlink r:id="rId29">
        <w:r>
          <w:rPr>
            <w:rStyle w:val="Hyperlink"/>
            <w:rFonts w:ascii="Times New Roman" w:hAnsi="Times New Roman"/>
            <w:b w:val="false"/>
            <w:i w:val="false"/>
            <w:color w:val="000000"/>
            <w:sz w:val="22"/>
          </w:rPr>
          <w:t>68B.32A</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68B.32C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7/29/94, Notice 5/25/94—published 8/17/94, effective 9/21/94]</w:t>
      </w:r>
    </w:p>
    <w:p>
      <w:pPr>
        <w:spacing w:before="0" w:after="0"/>
        <w:ind w:left="120"/>
        <w:jc w:val="center"/>
      </w:pPr>
      <w:r>
        <w:rPr>
          <w:rFonts w:ascii="Times New Roman" w:hAnsi="Times New Roman"/>
          <w:b w:val="false"/>
          <w:i w:val="false"/>
          <w:color w:val="000000"/>
          <w:sz w:val="21"/>
        </w:rPr>
        <w:t>[Filed 3/3/99, Notice 1/13/99—published 3/24/99, effective 4/28/99]</w:t>
      </w:r>
    </w:p>
    <w:p>
      <w:pPr>
        <w:spacing w:before="0" w:after="0"/>
        <w:ind w:left="120"/>
        <w:jc w:val="center"/>
      </w:pPr>
      <w:r>
        <w:rPr>
          <w:rFonts w:ascii="Times New Roman" w:hAnsi="Times New Roman"/>
          <w:b w:val="false"/>
          <w:i w:val="false"/>
          <w:color w:val="000000"/>
          <w:sz w:val="21"/>
        </w:rPr>
        <w:t>[Filed 4/18/02, Notice 1/9/02—published 5/15/02, effective 6/19/02]</w:t>
      </w:r>
    </w:p>
    <w:p>
      <w:pPr>
        <w:spacing w:before="0" w:after="0"/>
        <w:ind w:left="120"/>
        <w:jc w:val="center"/>
      </w:pPr>
      <w:r>
        <w:rPr>
          <w:rFonts w:ascii="Times New Roman" w:hAnsi="Times New Roman"/>
          <w:b w:val="false"/>
          <w:i w:val="false"/>
          <w:color w:val="000000"/>
          <w:sz w:val="21"/>
        </w:rPr>
        <w:t>[Filed 6/19/03, Notice 5/14/03—published 7/9/03, effective 8/13/03]</w:t>
      </w:r>
    </w:p>
    <w:p>
      <w:pPr>
        <w:spacing w:before="0" w:after="0"/>
        <w:ind w:left="120"/>
        <w:jc w:val="center"/>
      </w:pPr>
      <w:r>
        <w:rPr>
          <w:rFonts w:ascii="Times New Roman" w:hAnsi="Times New Roman"/>
          <w:b w:val="false"/>
          <w:i w:val="false"/>
          <w:color w:val="000000"/>
          <w:sz w:val="21"/>
        </w:rPr>
        <w:t>[Filed ARC 7997B</w:t>
      </w:r>
      <w:r>
        <w:rPr>
          <w:rFonts w:ascii="Times New Roman" w:hAnsi="Times New Roman"/>
          <w:b w:val="false"/>
          <w:i w:val="false"/>
          <w:color w:val="000000"/>
          <w:sz w:val="21"/>
        </w:rPr>
        <w:t xml:space="preserve"> (Notice ARC 7804B, IAB 6/3/09)</w:t>
      </w:r>
      <w:r>
        <w:rPr>
          <w:rFonts w:ascii="Times New Roman" w:hAnsi="Times New Roman"/>
          <w:b w:val="false"/>
          <w:i w:val="false"/>
          <w:color w:val="000000"/>
          <w:sz w:val="21"/>
        </w:rPr>
        <w:t>, IAB 7/29/09, effective 9/2/09]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4.1.pdf" Type="http://schemas.openxmlformats.org/officeDocument/2006/relationships/hyperlink" Id="rId6"/>
    <Relationship TargetMode="External" Target="https://www.legis.iowa.gov/docs/iac/rule/351.11.8.pdf" Type="http://schemas.openxmlformats.org/officeDocument/2006/relationships/hyperlink" Id="rId7"/>
    <Relationship TargetMode="External" Target="https://www.legis.iowa.gov/docs/ico/chapter/17A.17.pdf" Type="http://schemas.openxmlformats.org/officeDocument/2006/relationships/hyperlink" Id="rId8"/>
    <Relationship TargetMode="External" Target="https://www.legis.iowa.gov/docs/iac/rule/351.11.8.pdf" Type="http://schemas.openxmlformats.org/officeDocument/2006/relationships/hyperlink" Id="rId9"/>
    <Relationship TargetMode="External" Target="https://www.legis.iowa.gov/docs/ico/chapter/17A.17.pdf" Type="http://schemas.openxmlformats.org/officeDocument/2006/relationships/hyperlink" Id="rId10"/>
    <Relationship TargetMode="External" Target="https://www.legis.iowa.gov/docs/iac/rule/351.11.24.pdf" Type="http://schemas.openxmlformats.org/officeDocument/2006/relationships/hyperlink" Id="rId11"/>
    <Relationship TargetMode="External" Target="https://www.legis.iowa.gov/docs/iac/rule/351.11.28.pdf" Type="http://schemas.openxmlformats.org/officeDocument/2006/relationships/hyperlink" Id="rId12"/>
    <Relationship TargetMode="External" Target="https://www.legis.iowa.gov/docs/iac/rule/351.11.5.pdf" Type="http://schemas.openxmlformats.org/officeDocument/2006/relationships/hyperlink" Id="rId13"/>
    <Relationship TargetMode="External" Target="https://www.legis.iowa.gov/docs/iac/rule/351.11.24.pdf" Type="http://schemas.openxmlformats.org/officeDocument/2006/relationships/hyperlink" Id="rId14"/>
    <Relationship TargetMode="External" Target="https://www.legis.iowa.gov/docs/iac/rule/351.11.25.pdf" Type="http://schemas.openxmlformats.org/officeDocument/2006/relationships/hyperlink" Id="rId15"/>
    <Relationship TargetMode="External" Target="https://www.legis.iowa.gov/docs/iac/rule/351.11.5.pdf" Type="http://schemas.openxmlformats.org/officeDocument/2006/relationships/hyperlink" Id="rId16"/>
    <Relationship TargetMode="External" Target="https://www.legis.iowa.gov/docs/iac/rule/351.11.12.pdf" Type="http://schemas.openxmlformats.org/officeDocument/2006/relationships/hyperlink" Id="rId17"/>
    <Relationship TargetMode="External" Target="https://www.legis.iowa.gov/docs/iac/rule/351.11.26.pdf" Type="http://schemas.openxmlformats.org/officeDocument/2006/relationships/hyperlink" Id="rId18"/>
    <Relationship TargetMode="External" Target="https://www.legis.iowa.gov/docs/iac/rule/351.11.27.pdf" Type="http://schemas.openxmlformats.org/officeDocument/2006/relationships/hyperlink" Id="rId19"/>
    <Relationship TargetMode="External" Target="https://www.legis.iowa.gov/docs/iac/rule/351.11.15.pdf" Type="http://schemas.openxmlformats.org/officeDocument/2006/relationships/hyperlink" Id="rId20"/>
    <Relationship TargetMode="External" Target="https://www.legis.iowa.gov/docs/iac/rule/351.11.26.pdf" Type="http://schemas.openxmlformats.org/officeDocument/2006/relationships/hyperlink" Id="rId21"/>
    <Relationship TargetMode="External" Target="https://www.legis.iowa.gov/docs/iac/rule/351.11.24.pdf" Type="http://schemas.openxmlformats.org/officeDocument/2006/relationships/hyperlink" Id="rId22"/>
    <Relationship TargetMode="External" Target="https://www.legis.iowa.gov/docs/iac/rule/351.11.8.pdf" Type="http://schemas.openxmlformats.org/officeDocument/2006/relationships/hyperlink" Id="rId23"/>
    <Relationship TargetMode="External" Target="https://www.legis.iowa.gov/docs/ico/chapter/17A.12.pdf" Type="http://schemas.openxmlformats.org/officeDocument/2006/relationships/hyperlink" Id="rId24"/>
    <Relationship TargetMode="External" Target="https://www.legis.iowa.gov/docs/iac/rule/351.11.22.pdf" Type="http://schemas.openxmlformats.org/officeDocument/2006/relationships/hyperlink" Id="rId25"/>
    <Relationship TargetMode="External" Target="https://www.legis.iowa.gov/docs/iac/rule/351.11.27.pdf" Type="http://schemas.openxmlformats.org/officeDocument/2006/relationships/hyperlink" Id="rId26"/>
    <Relationship TargetMode="External" Target="https://www.legis.iowa.gov/docs/iac/rule/351.11.26.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68B.32A.pdf" Type="http://schemas.openxmlformats.org/officeDocument/2006/relationships/hyperlink" Id="rId29"/>
    <Relationship TargetMode="External" Target="https://www.legis.iowa.gov/docs/ico/chapter/68B.32C.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