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w:t>
      </w:r>
      <w:r>
        <w:br/>
      </w:r>
      <w:r>
        <w:rPr>
          <w:rFonts w:ascii="Times New Roman" w:hAnsi="Times New Roman"/>
          <w:b w:val="false"/>
          <w:i w:val="false"/>
          <w:color w:val="000000"/>
          <w:sz w:val="21"/>
        </w:rPr>
        <w:t>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library division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286—2.1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“library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of the record” </w:t>
      </w:r>
      <w:r>
        <w:rPr>
          <w:rFonts w:ascii="Times New Roman" w:hAnsi="Times New Roman"/>
          <w:b w:val="false"/>
          <w:i w:val="false"/>
          <w:color w:val="000000"/>
          <w:sz w:val="22"/>
        </w:rPr>
        <w:t>means the state librarian.</w:t>
      </w:r>
    </w:p>
    <w:p>
      <w:pPr>
        <w:spacing w:before="0" w:after="0"/>
        <w:ind w:left="120"/>
        <w:jc w:val="both"/>
      </w:pPr>
      <w:r>
        <w:rPr>
          <w:rFonts w:ascii="Times New Roman" w:hAnsi="Times New Roman"/>
          <w:b/>
          <w:i w:val="false"/>
          <w:color w:val="000000"/>
          <w:sz w:val="22"/>
        </w:rPr>
        <w:t>286—2.3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“state librarian”. Also in lieu of the words “(insert agency name and address)”, insert “State Librarian, State Library of Iowa, 1112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excepting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2623C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defined in rule 286—</w:t>
      </w:r>
      <w:hyperlink r:id="rId6">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286—2.10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286—2.11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9">
        <w:r>
          <w:rPr>
            <w:rStyle w:val="Hyperlink"/>
            <w:rFonts w:ascii="Times New Roman" w:hAnsi="Times New Roman"/>
            <w:b w:val="false"/>
            <w:i w:val="false"/>
            <w:color w:val="000000"/>
            <w:sz w:val="22"/>
          </w:rPr>
          <w:t>286—2.7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286—2.12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286—2.6</w:t>
        </w:r>
      </w:hyperlink>
      <w:r>
        <w:rPr>
          <w:rFonts w:ascii="Times New Roman" w:hAnsi="Times New Roman"/>
          <w:b w:val="false"/>
          <w:i w:val="false"/>
          <w:color w:val="000000"/>
          <w:sz w:val="22"/>
        </w:rPr>
        <w:t>(17A,22). However, the agency need not release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Other records will be released in accordance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286—2.13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as provided in Iowa Code section </w:t>
      </w:r>
      <w:hyperlink r:id="rId1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Facilitate disregard of requirements imposed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xml:space="preserve">(See Iowa Code sections </w:t>
      </w:r>
      <w:hyperlink r:id="rId1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ranking sheets (except for requester’s own) of grant application evaluators;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18">
        <w:r>
          <w:rPr>
            <w:rStyle w:val="Hyperlink"/>
            <w:rFonts w:ascii="Times New Roman" w:hAnsi="Times New Roman"/>
            <w:b w:val="false"/>
            <w:i w:val="false"/>
            <w:color w:val="000000"/>
            <w:sz w:val="22"/>
          </w:rPr>
          <w:t>286—2.4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19">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286—2.14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20">
        <w:r>
          <w:rPr>
            <w:rStyle w:val="Hyperlink"/>
            <w:rFonts w:ascii="Times New Roman" w:hAnsi="Times New Roman"/>
            <w:b w:val="false"/>
            <w:i w:val="false"/>
            <w:color w:val="000000"/>
            <w:sz w:val="22"/>
          </w:rPr>
          <w:t>286—2.1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concern departmental employees and their families, as well as applicants for employment with the department. The system contains material on health, dental, life, and long-term disability insurance; pay and benefit documents; tax withholding; position description questionnaires; affirmative action and equal employment opportunity; disciplinary information; grievances and appeals; performance planning and evaluation; training; deferred compensation; worker’s compensation; payroll records; and other materials relating to the employees of the department. Some of the information may be confidential under Iowa Code section </w:t>
      </w:r>
      <w:hyperlink r:id="rId2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legal provisions. These records contain names, social security numbers and other identifying numbers, and are collected in paper form and through the state’s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286—2.15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22">
        <w:r>
          <w:rPr>
            <w:rStyle w:val="Hyperlink"/>
            <w:rFonts w:ascii="Times New Roman" w:hAnsi="Times New Roman"/>
            <w:b w:val="false"/>
            <w:i w:val="false"/>
            <w:color w:val="000000"/>
            <w:sz w:val="22"/>
          </w:rPr>
          <w:t>286—2.1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23">
        <w:r>
          <w:rPr>
            <w:rStyle w:val="Hyperlink"/>
            <w:rFonts w:ascii="Times New Roman" w:hAnsi="Times New Roman"/>
            <w:b w:val="false"/>
            <w:i w:val="false"/>
            <w:color w:val="000000"/>
            <w:sz w:val="22"/>
          </w:rPr>
          <w:t>286—2.13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Council, board, and commission records. </w:t>
      </w:r>
      <w:r>
        <w:rPr>
          <w:rFonts w:ascii="Times New Roman" w:hAnsi="Times New Roman"/>
          <w:b w:val="false"/>
          <w:i w:val="false"/>
          <w:color w:val="000000"/>
          <w:sz w:val="22"/>
        </w:rPr>
        <w:t xml:space="preserve">Agendas, minutes, and materials presented to the commission of libraries are available from the state library, except those records concerning closed sessions which are exempt from disclosure under Iowa Code section </w:t>
      </w:r>
      <w:hyperlink r:id="rId24">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Council and commission records contain information about people who participate in meetings. This information is collected pursuant to Iowa Code section </w:t>
      </w:r>
      <w:hyperlink r:id="rId2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This office receives a number of books, periodicals, newsletters, government documents, annual reports and brochures related to its mission. These materials would generally be open to the public but may be protected by copyright law. Most publications of general interest are available in the library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promotional and grants brochures and pamphlets, press releases, project and annual reports, and newsletters which may contain information about individuals, staff or members of boards, councils, or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Other records are disclosed to the public unless otherwise exempted from disclosure by law.</w:t>
      </w:r>
    </w:p>
    <w:p>
      <w:pPr>
        <w:spacing w:before="210" w:after="0"/>
        <w:ind w:left="120"/>
        <w:jc w:val="both"/>
      </w:pPr>
      <w:r>
        <w:rPr>
          <w:rFonts w:ascii="Times New Roman" w:hAnsi="Times New Roman"/>
          <w:b/>
          <w:i w:val="false"/>
          <w:color w:val="000000"/>
          <w:sz w:val="22"/>
        </w:rPr>
        <w:t>286—2.16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286—2.17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2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3/3/94—published 3/30/94, effective 3/30/94]</w:t>
      </w:r>
    </w:p>
    <w:p>
      <w:pPr>
        <w:spacing w:before="0" w:after="0"/>
        <w:ind w:left="120"/>
        <w:jc w:val="center"/>
      </w:pPr>
      <w:r>
        <w:rPr>
          <w:rFonts w:ascii="Times New Roman" w:hAnsi="Times New Roman"/>
          <w:b w:val="false"/>
          <w:i w:val="false"/>
          <w:color w:val="000000"/>
          <w:sz w:val="21"/>
        </w:rPr>
        <w:t>[Filed 5/6/94, Notice 3/30/94—published 5/25/94, effective 6/29/94]</w:t>
      </w:r>
    </w:p>
    <w:p>
      <w:pPr>
        <w:spacing w:before="0" w:after="0"/>
        <w:ind w:left="120"/>
        <w:jc w:val="center"/>
      </w:pPr>
      <w:r>
        <w:rPr>
          <w:rFonts w:ascii="Times New Roman" w:hAnsi="Times New Roman"/>
          <w:b w:val="false"/>
          <w:i w:val="false"/>
          <w:color w:val="000000"/>
          <w:sz w:val="21"/>
        </w:rPr>
        <w:t>[Filed 11/25/98, Notice 9/23/98—published 12/16/98, effective 1/20/99]</w:t>
      </w:r>
    </w:p>
    <w:p>
      <w:pPr>
        <w:spacing w:before="0" w:after="0"/>
        <w:ind w:left="120"/>
        <w:jc w:val="center"/>
      </w:pPr>
      <w:r>
        <w:rPr>
          <w:rFonts w:ascii="Times New Roman" w:hAnsi="Times New Roman"/>
          <w:b w:val="false"/>
          <w:i w:val="false"/>
          <w:color w:val="000000"/>
          <w:sz w:val="21"/>
        </w:rPr>
        <w:t>[Filed ARC 2623C</w:t>
      </w:r>
      <w:r>
        <w:rPr>
          <w:rFonts w:ascii="Times New Roman" w:hAnsi="Times New Roman"/>
          <w:b w:val="false"/>
          <w:i w:val="false"/>
          <w:color w:val="000000"/>
          <w:sz w:val="21"/>
        </w:rPr>
        <w:t xml:space="preserve"> (Notice ARC 2511C, IAB 4/27/16)</w:t>
      </w:r>
      <w:r>
        <w:rPr>
          <w:rFonts w:ascii="Times New Roman" w:hAnsi="Times New Roman"/>
          <w:b w:val="false"/>
          <w:i w:val="false"/>
          <w:color w:val="000000"/>
          <w:sz w:val="21"/>
        </w:rPr>
        <w:t>, IAB 7/20/16, effective 8/24/16]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286.2.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286.2.7.pdf" Type="http://schemas.openxmlformats.org/officeDocument/2006/relationships/hyperlink" Id="rId9"/>
    <Relationship TargetMode="External" Target="https://www.legis.iowa.gov/docs/iac/rule/286.2.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1.5.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286.2.4.pdf" Type="http://schemas.openxmlformats.org/officeDocument/2006/relationships/hyperlink" Id="rId18"/>
    <Relationship TargetMode="External" Target="https://www.legis.iowa.gov/docs/iac/rule/286.2.4.pdf" Type="http://schemas.openxmlformats.org/officeDocument/2006/relationships/hyperlink" Id="rId19"/>
    <Relationship TargetMode="External" Target="https://www.legis.iowa.gov/docs/iac/rule/286.2.1.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ac/rule/286.2.1.pdf" Type="http://schemas.openxmlformats.org/officeDocument/2006/relationships/hyperlink" Id="rId22"/>
    <Relationship TargetMode="External" Target="https://www.legis.iowa.gov/docs/iac/rule/286.2.13.pdf" Type="http://schemas.openxmlformats.org/officeDocument/2006/relationships/hyperlink" Id="rId23"/>
    <Relationship TargetMode="External" Target="https://www.legis.iowa.gov/docs/ico/chapter/21.5.pdf" Type="http://schemas.openxmlformats.org/officeDocument/2006/relationships/hyperlink" Id="rId24"/>
    <Relationship TargetMode="External" Target="https://www.legis.iowa.gov/docs/ico/chapter/21.3.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co/chapter/22.11.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