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286—10.1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This chapter outlines a uniform process for the granting of waivers from rules adopted by the commission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commission of libraries established by Iowa Code section </w:t>
      </w:r>
      <w:hyperlink r:id="rId5">
        <w:r>
          <w:rPr>
            <w:rStyle w:val="Hyperlink"/>
            <w:rFonts w:ascii="Times New Roman" w:hAnsi="Times New Roman"/>
            <w:b w:val="false"/>
            <w:i w:val="false"/>
            <w:color w:val="000000"/>
            <w:sz w:val="22"/>
          </w:rPr>
          <w:t>256.52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libraries and information services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library, government or governmental subdivision or agency,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an agency action which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a waiver from a rule adopted by the commission only if (1) the commission has jurisdiction over the rule; (2) no statute or rule otherwise controls the granting of a waiver from the rule from which waiver is requested; and (3) the requested waiver is consistent with applicable statutes, constitutional provisions,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which is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286—10.4</w:t>
      </w:r>
      <w:r>
        <w:rPr>
          <w:rFonts w:ascii="Times New Roman" w:hAnsi="Times New Roman"/>
          <w:b/>
          <w:i w:val="false"/>
          <w:color w:val="000000"/>
          <w:sz w:val="22"/>
        </w:rPr>
        <w:t xml:space="preserve">(17A) </w:t>
      </w:r>
      <w:r>
        <w:rPr>
          <w:rFonts w:ascii="Times New Roman" w:hAnsi="Times New Roman"/>
          <w:b/>
          <w:i w:val="false"/>
          <w:color w:val="000000"/>
          <w:sz w:val="22"/>
        </w:rPr>
        <w:t xml:space="preserve">Commission discretion. </w:t>
      </w:r>
      <w:r>
        <w:rPr>
          <w:rFonts w:ascii="Times New Roman" w:hAnsi="Times New Roman"/>
          <w:b w:val="false"/>
          <w:i w:val="false"/>
          <w:color w:val="000000"/>
          <w:sz w:val="22"/>
        </w:rPr>
        <w:t>The decision on whether the circumstances justify the granting of a waiver shall be made at the discretion of the commission upon consideration of all relevant factors. Each petition for a waiver shall be evaluated by the commission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determining whether a waiver should be granted, the commission shall consider the public interest, policies and legislative intent of the statute on which the rule is based. When the rule from which a waiver is sought establishes administrative deadlines, the commission shall balance the special individual circumstances of the petitioner with the overall goal of uniform treatment of all similarly situated persons. The commission may, in response to a completed petition, grant a waiver from a rule, in whole or in part, as applied to the circumstances of a specified situation if the commission finds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result in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These uniform waiver rules shall not preclude the commission from granting waivers in other contexts if a statute or other rule authorizes the commission to do so and the commission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286—10.5</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Requester’s responsibilities in filing a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petitions for waiver must be submitted in writing to the State Library, Ola Babcock Miller Building, 1112 East Grand Avenue, Des Moines, Iowa 50319.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 xml:space="preserve">A petition for waiver shall include the following information where applicable and known to the requester: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under each of the four criteria specified in paragraphs 10.4(1)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commission and the petitioner or between the division and the petitioner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treatment of similar cases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rule, the burden of persuasion shall be on the petitioner to demonstrate by clear and convincing evidence that the commission should exercise the commission’s discretion to grant the petitioner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commission shall acknowledge a petition upon receipt. The commission shall ensure that, within 30 days of the receipt of the petition, notice of the pendency of the petition and a concise summary of its contents have been provided to all persons to whom notice is required by any provision of law. In addition, the commission may give notice to other persons. To accomplish this notice provision, the commission may require the petitioner to serve the notice on all persons to whom notice is required by any provision of law and provide a written statement to the commission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286—10.7</w:t>
      </w:r>
      <w:r>
        <w:rPr>
          <w:rFonts w:ascii="Times New Roman" w:hAnsi="Times New Roman"/>
          <w:b/>
          <w:i w:val="false"/>
          <w:color w:val="000000"/>
          <w:sz w:val="22"/>
        </w:rPr>
        <w:t xml:space="preserve">(17A) </w:t>
      </w:r>
      <w:r>
        <w:rPr>
          <w:rFonts w:ascii="Times New Roman" w:hAnsi="Times New Roman"/>
          <w:b/>
          <w:i w:val="false"/>
          <w:color w:val="000000"/>
          <w:sz w:val="22"/>
        </w:rPr>
        <w:t xml:space="preserve">Commission’s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commission may request additional information from the petitioner relative to the petition and surrounding circumstances. If the petition was not filed in a contested case, the commission may, on the commission’s own motion or at the petitioner’s request, schedule a telephonic or in-person meeting between the petitioner and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6">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(1) to any petition for a waiver of a rule filed within a contested case; (2) when the commission so provides by rule or order; or (3)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commission may place any condition on a waiver that the commission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commission, a waiver may be renewed if the commission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commission shall grant or deny a petition for a waiver as soon as practicable but, in any event, shall do so within 120 days of its receipt, unless the petitioner agrees to a later date. However, if a petition is filed in a contested case, the commission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commission to grant or deny a petition within the required time period shall be deemed a denial of that petition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286—10.8</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waivers under this chapter shall be indexed, filed and available for public inspection as provided in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that the commission is authorized or required to keep confidential. The commission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286—10.9</w:t>
      </w:r>
      <w:r>
        <w:rPr>
          <w:rFonts w:ascii="Times New Roman" w:hAnsi="Times New Roman"/>
          <w:b/>
          <w:i w:val="false"/>
          <w:color w:val="000000"/>
          <w:sz w:val="22"/>
        </w:rPr>
        <w:t xml:space="preserve">(17A)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 xml:space="preserve">A waiver is void if the material facts upon which the request or petition is based are not true or if material facts have been withheld. A waiver issued by the commission pursuant to this chapter may be withdrawn, canceled, or modified if, after appropriate notice and opportunity for hearing, the commission issues an order finding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any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286—10.10</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Violation of conditions in the waiver order is the equivalent of violation of the particular rule for which the waiver is granted and is subject to the same remedies or penalties.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286—10.11</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286—10.12</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Granting or denying a request for waiver is final agency action under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Judicial review of the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286—10.13</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commission shall make a submission on the Internet site established pursuant to Iowa Code section 17A.9A for the submission of waiver information. The submission shall identify the rules for which a waiver has been granted or denied by the commission, the number of times a waiver was granted or denied for each rule, a citation to the statutory provisions implemented by these rules, and a general summary of the reasons justifying the commission’s actions on waiver requests. If practicable, the submission shall detail the extent to which the granting of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7596B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6024C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7596B</w:t>
      </w:r>
      <w:r>
        <w:rPr>
          <w:rFonts w:ascii="Times New Roman" w:hAnsi="Times New Roman"/>
          <w:b w:val="false"/>
          <w:i w:val="false"/>
          <w:color w:val="000000"/>
          <w:sz w:val="21"/>
        </w:rPr>
        <w:t xml:space="preserve"> (Notice ARC 7464B, IAB 12/31/08)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6024C</w:t>
      </w:r>
      <w:r>
        <w:rPr>
          <w:rFonts w:ascii="Times New Roman" w:hAnsi="Times New Roman"/>
          <w:b w:val="false"/>
          <w:i w:val="false"/>
          <w:color w:val="000000"/>
          <w:sz w:val="21"/>
        </w:rPr>
        <w:t xml:space="preserve"> (Notice ARC 5584C, IAB 4/21/21)</w:t>
      </w:r>
      <w:r>
        <w:rPr>
          <w:rFonts w:ascii="Times New Roman" w:hAnsi="Times New Roman"/>
          <w:b w:val="false"/>
          <w:i w:val="false"/>
          <w:color w:val="000000"/>
          <w:sz w:val="21"/>
        </w:rPr>
        <w:t>, IAB 11/3/21, effective 12/8/21]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52.pdf" Type="http://schemas.openxmlformats.org/officeDocument/2006/relationships/hyperlink" Id="rId5"/>
    <Relationship TargetMode="External" Target="https://www.legis.iowa.gov/docs/ico/chapter/17A.10-18A.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