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UNIFORM RULES FOR 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283—7.1</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Waiver process. </w:t>
      </w:r>
      <w:r>
        <w:rPr>
          <w:rFonts w:ascii="Times New Roman" w:hAnsi="Times New Roman"/>
          <w:b w:val="false"/>
          <w:i w:val="false"/>
          <w:color w:val="000000"/>
          <w:sz w:val="22"/>
        </w:rPr>
        <w:t>This chapter outlines a uniform process for granting waivers from rules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Commission authority. </w:t>
      </w:r>
      <w:r>
        <w:rPr>
          <w:rFonts w:ascii="Times New Roman" w:hAnsi="Times New Roman"/>
          <w:b w:val="false"/>
          <w:i w:val="false"/>
          <w:color w:val="000000"/>
          <w:sz w:val="22"/>
        </w:rPr>
        <w:t>A waiver from rules adopted by the commission may be granted in accordance with this chapter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has exclusive rule-making authority to promulgate the rule from which a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statute or rule otherwise controls the granting of a waiver from the rule for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These uniform waiver rules shall not apply to rules defining a statute or other provisions of law or precedent if the commission does not have delegated authority to bind the courts with its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statute. </w:t>
      </w:r>
      <w:r>
        <w:rPr>
          <w:rFonts w:ascii="Times New Roman" w:hAnsi="Times New Roman"/>
          <w:b w:val="false"/>
          <w:i w:val="false"/>
          <w:color w:val="000000"/>
          <w:sz w:val="22"/>
        </w:rPr>
        <w:t>No waiver shall be granted from a requirement that is imposed by statute.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action by the commission which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283—7.3</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commission in situations where no other more specific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283—7.4</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The commission may grant a waiver from a rule only if the commission has jurisdiction over the rule and the requested waiver is consistent with applicable statutes, constitutional provisions, or other provisions of law. The commission may not waive requirements created or duties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283—7.5</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The commission may issue an order, in response to a completed petition or on its own motion, granting a waiver from a rule adopted by the commission, in whole or in part, as applied to the circumstances of a specified person if the commission finds, based on clear and convincing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would impose an undue hardship or injustice on the person for whom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A waiver of the rule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A waiver of the rule in the specific case would not prejudice the substantial legal rights of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283—7.6</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Mandatory waivers. </w:t>
      </w:r>
      <w:r>
        <w:rPr>
          <w:rFonts w:ascii="Times New Roman" w:hAnsi="Times New Roman"/>
          <w:b w:val="false"/>
          <w:i w:val="false"/>
          <w:color w:val="000000"/>
          <w:sz w:val="22"/>
        </w:rPr>
        <w:t>In response to the timely filing of a completed petition requesting a waiver, the commission shall grant a waiver from a rule, in whole or in part, as applied to the particular circumstances of a specified person, if the commission finds that the application of all or a portion of the circumstances of that specified person would not, to any extent, advance or serve any of the purposes of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283—7.7</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Burden of persuasion. </w:t>
      </w:r>
      <w:r>
        <w:rPr>
          <w:rFonts w:ascii="Times New Roman" w:hAnsi="Times New Roman"/>
          <w:b w:val="false"/>
          <w:i w:val="false"/>
          <w:color w:val="000000"/>
          <w:sz w:val="22"/>
        </w:rPr>
        <w:t>The petitioner shall assume the burden of persuasion to demonstrate clear and convincing evidence when a petition is filed for a waiver from a commission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283—7.8</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Special waiver rule not precluded. </w:t>
      </w:r>
      <w:r>
        <w:rPr>
          <w:rFonts w:ascii="Times New Roman" w:hAnsi="Times New Roman"/>
          <w:b w:val="false"/>
          <w:i w:val="false"/>
          <w:color w:val="000000"/>
          <w:sz w:val="22"/>
        </w:rPr>
        <w:t>This uniform waiver rule shall not preclude the commission from granting waivers in other contexts or on the basis of other standards if a statute or other commission rule authorizes the commission to do so and the commission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283—7.9</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commission shall balance the special individual circumstances of the petitioner with the overall goal of uniform treatment of all persons participating in a particular program offered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283—7.10</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commission’s Executive Director, 400 E.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1869C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283—7.11</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Contested case.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283—7.12</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social security number of the person or entity for whom a waiver is being requested and the case number of any related contested case, whether pending or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The historical summary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 of all of the programs, contracts, allocations, bond issues, loans, grants, or other activities in which the petitioner has participated or from which the petitioner has received a benefit and which are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each instance when the petitioner has participated in or benefited from any of the commission’s programs or contracts, including but not limited to allocations, grants, or loans held by the petitioner, any notices of noncompliance, other administrative events, whether federal or state, contested case hearings, or investigative reports relating to the program, allocation, grant, or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about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inside or outside state government,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7.12(9)</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pertaining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283—7.13</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If the petition for waiver is not filed in a contested case and prior to issuing an order granting or denying a waiver, the executive director may request additional information from the petitioner relative to the petition and circumstances relating to the request for waiver. The request may be in the form of written questions or oral interview. The executive director may interview or direct written questions to other persons in connection with the waiver requested. If the petition was not filed in a contested case, the commission, or its executive director, may, on its own motion or at the petitioner’s request, schedule a telephonic or in-person meeting between the petitioner and the commission’s executive director, a committee of the commission’s staff, or a quorum or committee of the commission’s board to consider the petition for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283—7.14</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commission shall acknowledge a petition upon receipt. The commission shall ensure that notice of the pendency of the petition and a concise summary of its contents have been provided to all persons to whom notice is required by any provision of law within 30 days of the receipt of the petition. In addition, the commission may give notice to other persons. To accomplish this notice provision, the commission may require the petitioner to serve the notice on all persons to whom notice is required and provide a written statement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283—7.15</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commission proceedings for a waiver of a rule only when the commission so provides by rule or order or is required by statute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283—7.16</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that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283—7.17</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Commission discretion. </w:t>
      </w:r>
      <w:r>
        <w:rPr>
          <w:rFonts w:ascii="Times New Roman" w:hAnsi="Times New Roman"/>
          <w:b w:val="false"/>
          <w:i w:val="false"/>
          <w:color w:val="000000"/>
          <w:sz w:val="22"/>
        </w:rPr>
        <w:t>The final decision on whether the circumstances justify the granting of a waiver shall be made at the sole discretion of the commission, upon consideration of all relevant factors. Each petition for a waiver shall be evaluated by the commission based on the unique, individual circumstances set out in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283—7.18</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283—7.19</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Conditions. </w:t>
      </w:r>
      <w:r>
        <w:rPr>
          <w:rFonts w:ascii="Times New Roman" w:hAnsi="Times New Roman"/>
          <w:b w:val="false"/>
          <w:i w:val="false"/>
          <w:color w:val="000000"/>
          <w:sz w:val="22"/>
        </w:rPr>
        <w:t>The commission may condition the granting of a waiver on such reasonable conditions as appropriate to achieve the objectives of the particular rule in question through alternative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283—7.20</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a waiver continue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283—7.21</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Timing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proceeding, the commission shall grant or deny the petition no later than the time at which the final decision in the contested case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283—7.22</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 However, the commission shall remain responsible for issuing an order denying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283—7.23</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Service of order. </w:t>
      </w:r>
      <w:r>
        <w:rPr>
          <w:rFonts w:ascii="Times New Roman" w:hAnsi="Times New Roman"/>
          <w:b w:val="false"/>
          <w:i w:val="false"/>
          <w:color w:val="000000"/>
          <w:sz w:val="22"/>
        </w:rPr>
        <w:t>Within seven days of its issuance, any order issued under these uniform rules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283—7.24</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commission shall maintain a record of all orders granting and denying waivers under these uniform rules. All records pertaining to waivers shall be indexed and available to members of the public at the commission’s office. Some petitions may contain information the commission is authorized or required to keep confidential. The commission may accordingly edit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283—7.25</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commission may, at any time, cancel a waiver upon appropriate notice and hearing if the commission finds that the facts as stated in the petition are not true, material facts have been withheld, the alternative means of compliance provided in the waiver have failed to achieve the objectives of the statute or rule, or the petitioner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283—7.26</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a waiver shall be treated as a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283—7.27</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 The order is not assignable, and it shall not inure to the benefit of the heirs or successors in interest of the person first obtaining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283—7.28</w:t>
      </w:r>
      <w:r>
        <w:rPr>
          <w:rFonts w:ascii="Times New Roman" w:hAnsi="Times New Roman"/>
          <w:b/>
          <w:i w:val="false"/>
          <w:color w:val="000000"/>
          <w:sz w:val="22"/>
        </w:rPr>
        <w:t xml:space="preserve">(256,ExecOrd11,17A)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commission decision to grant or deny a waiver petition may be taken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10/18/00—published 2/7/01, effective 3/14/01]</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1869C</w:t>
      </w:r>
      <w:r>
        <w:rPr>
          <w:rFonts w:ascii="Times New Roman" w:hAnsi="Times New Roman"/>
          <w:b w:val="false"/>
          <w:i w:val="false"/>
          <w:color w:val="000000"/>
          <w:sz w:val="21"/>
        </w:rPr>
        <w:t xml:space="preserve"> (Notice ARC 1689C,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18A.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