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283—6.1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commission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commission, or a person lawfully delegated authority by the commission to act for the commission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commission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283—6.2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commission determinations with respect to the handling of confidential records and the implementation of the fair information practices Act. The commission is committed to the policies set forth in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commission staff shall cooperate with members of the public in implementing the provisions of that chapter.</w:t>
      </w:r>
    </w:p>
    <w:p>
      <w:pPr>
        <w:spacing w:before="0" w:after="0"/>
        <w:ind w:left="120"/>
        <w:jc w:val="both"/>
      </w:pPr>
      <w:r>
        <w:rPr>
          <w:rFonts w:ascii="Times New Roman" w:hAnsi="Times New Roman"/>
          <w:b/>
          <w:i w:val="false"/>
          <w:color w:val="000000"/>
          <w:sz w:val="22"/>
        </w:rPr>
        <w:t>283—6.3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Executive Director, Iowa College Student Aid Commission, 400 E. 14th Street, Des Moines, Iowa 50319-0146. If a request for access to a record is misdirected, commission personnel will promptly forward the request to the appropriate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except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or by telephone. Requests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9">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3">
        <w:r>
          <w:rPr>
            <w:rStyle w:val="Hyperlink"/>
            <w:rFonts w:ascii="Times New Roman" w:hAnsi="Times New Roman"/>
            <w:b w:val="false"/>
            <w:i w:val="false"/>
            <w:color w:val="000000"/>
            <w:sz w:val="22"/>
          </w:rPr>
          <w:t>283—6.4</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commission files. Examination and copying of commission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commission’s office. If photocopy equipment is not available in the commission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commission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commission shall be prominently posted in commission offices. Copies of records may be made by or for members of the public on commission photocopy machines or from electronic storage systems at cost as determined and posted in commission offices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commission expenses in supervising the examination and copying of requested records when the supervision time required is in excess of one hour. The custodian shall prominently post in commission offices the hourly fees to be charged for supervision of records during examination and copying. That hourly fee shall not be in excess of the hourly wage of a commission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1869C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283—6.4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5">
        <w:r>
          <w:rPr>
            <w:rStyle w:val="Hyperlink"/>
            <w:rFonts w:ascii="Times New Roman" w:hAnsi="Times New Roman"/>
            <w:b w:val="false"/>
            <w:i w:val="false"/>
            <w:color w:val="000000"/>
            <w:sz w:val="22"/>
          </w:rPr>
          <w:t>283—6.3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283—6.5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commission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commission does not request that it be withheld from public inspection under Iowa Code sections </w:t>
      </w:r>
      <w:hyperlink r:id="rId1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2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210" w:after="0"/>
        <w:ind w:left="120"/>
        <w:jc w:val="both"/>
      </w:pPr>
      <w:r>
        <w:rPr>
          <w:rFonts w:ascii="Times New Roman" w:hAnsi="Times New Roman"/>
          <w:b/>
          <w:i w:val="false"/>
          <w:color w:val="000000"/>
          <w:sz w:val="22"/>
        </w:rPr>
        <w:t>283—6.6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commission proceeding. The requester shall send the request to review such a record or the written statement of additions, dissents, or objections to the custodian or to the Iowa college student aid commission. The request to review such a record or the written statement of such a record of additions, dissents, or objections must be dated and signed by the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283—6.7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before the commission on behalf of a person who is the subject of a confidential record is deemed to constitute consent for the commission to disclose records about that person to the person’s attorney.</w:t>
      </w:r>
    </w:p>
    <w:p>
      <w:pPr>
        <w:spacing w:before="210" w:after="0"/>
        <w:ind w:left="120"/>
        <w:jc w:val="both"/>
      </w:pPr>
      <w:r>
        <w:rPr>
          <w:rFonts w:ascii="Times New Roman" w:hAnsi="Times New Roman"/>
          <w:b/>
          <w:i w:val="false"/>
          <w:color w:val="000000"/>
          <w:sz w:val="22"/>
        </w:rPr>
        <w:t>283—6.8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commission requests a person to supply information about that person, the commission shall notify the person of the use that will be made of the information, which persons outside the commission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w:t>
      </w:r>
    </w:p>
    <w:p>
      <w:pPr>
        <w:spacing w:before="0" w:after="0"/>
        <w:ind w:left="120"/>
        <w:jc w:val="both"/>
      </w:pPr>
      <w:r>
        <w:rPr>
          <w:rFonts w:ascii="Times New Roman" w:hAnsi="Times New Roman"/>
          <w:b/>
          <w:i w:val="false"/>
          <w:color w:val="000000"/>
          <w:sz w:val="22"/>
        </w:rPr>
        <w:t>283—6.9</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are considered routine uses of all commission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officers, employees, and agents of the commission who have a need for the record in the performance of their duties. The custodian of the record may, upon request of an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regarding matters in which it performs services or functions on behalf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commission,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to determine whether the commission is lawfully operating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is collected or maintained.</w:t>
      </w:r>
    </w:p>
    <w:p>
      <w:pPr>
        <w:spacing w:before="0" w:after="0"/>
        <w:ind w:left="120"/>
        <w:jc w:val="both"/>
      </w:pPr>
      <w:r>
        <w:rPr>
          <w:rFonts w:ascii="Times New Roman" w:hAnsi="Times New Roman"/>
          <w:b/>
          <w:i w:val="false"/>
          <w:color w:val="000000"/>
          <w:sz w:val="22"/>
        </w:rPr>
        <w:t>283—6.10</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 xml:space="preserve">The subject may consent in writing to commission disclosure of confidential records as provided in rule </w:t>
      </w:r>
      <w:hyperlink r:id="rId23">
        <w:r>
          <w:rPr>
            <w:rStyle w:val="Hyperlink"/>
            <w:rFonts w:ascii="Times New Roman" w:hAnsi="Times New Roman"/>
            <w:b w:val="false"/>
            <w:i w:val="false"/>
            <w:color w:val="000000"/>
            <w:sz w:val="22"/>
          </w:rPr>
          <w:t>283—6.7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commission may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283—6.11</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The subject of a confidential record may file a written request to review the subject’s confidential records. However, the commission need not release the following records to the subject: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identity of a person providing information to the commission when the information is authorized as confidential pursuant to Iowa Code subsection </w:t>
      </w:r>
      <w:hyperlink r:id="rId2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work product of an attorney or otherwise privileged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Peace officers’ investigative reports, except as required by Iowa Code subsection </w:t>
      </w:r>
      <w:hyperlink r:id="rId25">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Those otherwise authorized by law.</w:t>
      </w:r>
    </w:p>
    <w:p>
      <w:pPr>
        <w:spacing w:before="0" w:after="0"/>
        <w:ind w:left="120"/>
        <w:jc w:val="both"/>
      </w:pPr>
      <w:r>
        <w:rPr>
          <w:rFonts w:ascii="Times New Roman" w:hAnsi="Times New Roman"/>
          <w:b/>
          <w:i w:val="false"/>
          <w:color w:val="000000"/>
          <w:sz w:val="22"/>
        </w:rPr>
        <w:t>283—6.12</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This rule lists the commission records which are open to the public, those which are confidential, and those which are partially open and partially confidential.</w:t>
      </w:r>
    </w:p>
    <w:p>
      <w:pPr>
        <w:spacing w:before="0" w:after="0"/>
        <w:ind w:left="120"/>
        <w:jc w:val="both"/>
      </w:pPr>
      <w:r>
        <w:rPr>
          <w:rFonts w:ascii="Times New Roman" w:hAnsi="Times New Roman"/>
          <w:b w:val="false"/>
          <w:i w:val="false"/>
          <w:color w:val="000000"/>
          <w:sz w:val="22"/>
        </w:rPr>
        <w:t xml:space="preserve">Commission records are listed by category, according to the legal basis for confidential treatment (if any). The commission administers federally funded programs, as well as state programs, and is authorized by Iowa Code section </w:t>
      </w:r>
      <w:hyperlink r:id="rId2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for federal law and regulations as are required for receipt of the funds. A single record may contain information from several categories.</w:t>
      </w:r>
    </w:p>
    <w:p>
      <w:pPr>
        <w:spacing w:before="0" w:after="0"/>
        <w:ind w:left="120"/>
        <w:jc w:val="both"/>
      </w:pPr>
      <w:r>
        <w:rPr>
          <w:rFonts w:ascii="Times New Roman" w:hAnsi="Times New Roman"/>
          <w:b w:val="false"/>
          <w:i w:val="false"/>
          <w:color w:val="000000"/>
          <w:sz w:val="22"/>
        </w:rPr>
        <w:t>The chart indicates whether the record contains personally identifiable information, and indicates the legal authority for confidentiality and for the collection of personally identifiable information.</w:t>
      </w:r>
    </w:p>
    <w:tbl>
      <w:tblPr>
        <w:tblW w:w="5000" w:type="pct"/>
        <w:tblCellSpacing w:w="0" w:type="auto"/>
        <w:tblBorders>
          <w:top w:val="none"/>
          <w:left w:val="none"/>
          <w:bottom w:val="none"/>
          <w:right w:val="none"/>
          <w:insideH w:val="none"/>
          <w:insideV w:val="none"/>
        </w:tblBorders>
        <w:tblLayout w:type="fixed"/>
      </w:tblPr>
      <w:tblGrid>
        <w:gridCol w:w="1070"/>
        <w:gridCol w:w="4526"/>
        <w:gridCol w:w="1069"/>
        <w:gridCol w:w="4525"/>
      </w:tblGrid>
      <w:tr>
        <w:trPr>
          <w:trHeight w:val="165"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Abbreviations are used in the chart as follows:</w:t>
            </w:r>
          </w:p>
        </w:tc>
      </w:tr>
      <w:tr>
        <w:trPr>
          <w:trHeight w:val="165" w:hRule="atLeast"/>
        </w:trPr>
        <w:tc>
          <w:tcPr>
            <w:tcW w:w="10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Code</w:t>
            </w:r>
          </w:p>
        </w:tc>
        <w:tc>
          <w:tcPr>
            <w:tcW w:w="4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Meaning</w:t>
            </w:r>
          </w:p>
        </w:tc>
        <w:tc>
          <w:tcPr>
            <w:tcW w:w="10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Code</w:t>
            </w:r>
          </w:p>
        </w:tc>
        <w:tc>
          <w:tcPr>
            <w:tcW w:w="45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Meaning</w:t>
            </w:r>
          </w:p>
        </w:tc>
      </w:tr>
      <w:tr>
        <w:trPr>
          <w:trHeight w:val="165" w:hRule="atLeast"/>
        </w:trPr>
        <w:tc>
          <w:tcPr>
            <w:tcW w:w="10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O</w:t>
            </w:r>
          </w:p>
        </w:tc>
        <w:tc>
          <w:tcPr>
            <w:tcW w:w="4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The records are open for public inspection.</w:t>
            </w:r>
          </w:p>
        </w:tc>
        <w:tc>
          <w:tcPr>
            <w:tcW w:w="10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O/C</w:t>
            </w:r>
          </w:p>
        </w:tc>
        <w:tc>
          <w:tcPr>
            <w:tcW w:w="45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The record is partially open and partially confidential.</w:t>
            </w:r>
          </w:p>
        </w:tc>
      </w:tr>
      <w:tr>
        <w:trPr>
          <w:trHeight w:val="300" w:hRule="atLeast"/>
        </w:trPr>
        <w:tc>
          <w:tcPr>
            <w:tcW w:w="10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C</w:t>
            </w:r>
          </w:p>
        </w:tc>
        <w:tc>
          <w:tcPr>
            <w:tcW w:w="45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The records are confidential and are not open to public</w:t>
            </w:r>
          </w:p>
          <w:p>
            <w:pPr>
              <w:spacing w:before="0" w:after="0"/>
              <w:ind w:left="268"/>
              <w:jc w:val="left"/>
            </w:pPr>
            <w:r>
              <w:rPr>
                <w:rFonts w:ascii="Times New Roman" w:hAnsi="Times New Roman"/>
                <w:b w:val="false"/>
                <w:i w:val="false"/>
                <w:color w:val="000000"/>
                <w:sz w:val="12"/>
              </w:rPr>
              <w:t>inspection.</w:t>
            </w:r>
          </w:p>
        </w:tc>
        <w:tc>
          <w:tcPr>
            <w:tcW w:w="10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O/E</w:t>
            </w:r>
          </w:p>
        </w:tc>
        <w:tc>
          <w:tcPr>
            <w:tcW w:w="452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The record is partially open to the public and partially</w:t>
            </w:r>
          </w:p>
          <w:p>
            <w:pPr>
              <w:spacing w:before="0" w:after="0"/>
              <w:ind w:left="268"/>
              <w:jc w:val="left"/>
            </w:pPr>
            <w:r>
              <w:rPr>
                <w:rFonts w:ascii="Times New Roman" w:hAnsi="Times New Roman"/>
                <w:b w:val="false"/>
                <w:i w:val="false"/>
                <w:color w:val="000000"/>
                <w:sz w:val="12"/>
              </w:rPr>
              <w:t>exempt from disclosure.</w:t>
            </w:r>
          </w:p>
        </w:tc>
      </w:tr>
      <w:tr>
        <w:trPr>
          <w:trHeight w:val="435" w:hRule="atLeast"/>
        </w:trPr>
        <w:tc>
          <w:tcPr>
            <w:tcW w:w="10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E</w:t>
            </w:r>
          </w:p>
        </w:tc>
        <w:tc>
          <w:tcPr>
            <w:tcW w:w="45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The record is exempt from mandatory disclosure to</w:t>
            </w:r>
          </w:p>
          <w:p>
            <w:pPr>
              <w:spacing w:before="0" w:after="0"/>
              <w:ind w:left="268"/>
              <w:jc w:val="left"/>
            </w:pPr>
            <w:r>
              <w:rPr>
                <w:rFonts w:ascii="Times New Roman" w:hAnsi="Times New Roman"/>
                <w:b w:val="false"/>
                <w:i w:val="false"/>
                <w:color w:val="000000"/>
                <w:sz w:val="12"/>
              </w:rPr>
              <w:t>members of the public.</w:t>
            </w:r>
          </w:p>
        </w:tc>
        <w:tc>
          <w:tcPr>
            <w:tcW w:w="10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O/E/C</w:t>
            </w:r>
          </w:p>
        </w:tc>
        <w:tc>
          <w:tcPr>
            <w:tcW w:w="452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The record is partially open to the public, partially exempt</w:t>
            </w:r>
          </w:p>
          <w:p>
            <w:pPr>
              <w:spacing w:before="0" w:after="0"/>
              <w:ind w:left="268"/>
              <w:jc w:val="left"/>
            </w:pPr>
            <w:r>
              <w:rPr>
                <w:rFonts w:ascii="Times New Roman" w:hAnsi="Times New Roman"/>
                <w:b w:val="false"/>
                <w:i w:val="false"/>
                <w:color w:val="000000"/>
                <w:sz w:val="12"/>
              </w:rPr>
              <w:t>from disclosure, and partially confidential and not open</w:t>
            </w:r>
          </w:p>
          <w:p>
            <w:pPr>
              <w:spacing w:before="0" w:after="0"/>
              <w:ind w:left="268"/>
              <w:jc w:val="left"/>
            </w:pPr>
            <w:r>
              <w:rPr>
                <w:rFonts w:ascii="Times New Roman" w:hAnsi="Times New Roman"/>
                <w:b w:val="false"/>
                <w:i w:val="false"/>
                <w:color w:val="000000"/>
                <w:sz w:val="12"/>
              </w:rPr>
              <w:t>to the public.</w:t>
            </w:r>
          </w:p>
        </w:tc>
      </w:tr>
      <w:tr>
        <w:trPr>
          <w:trHeight w:val="435" w:hRule="atLeast"/>
        </w:trPr>
        <w:tc>
          <w:tcPr>
            <w:tcW w:w="10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E/C</w:t>
            </w:r>
          </w:p>
        </w:tc>
        <w:tc>
          <w:tcPr>
            <w:tcW w:w="45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The record is exempt from mandatory disclosure to the</w:t>
            </w:r>
          </w:p>
          <w:p>
            <w:pPr>
              <w:spacing w:before="0" w:after="0"/>
              <w:ind w:left="268"/>
              <w:jc w:val="left"/>
            </w:pPr>
            <w:r>
              <w:rPr>
                <w:rFonts w:ascii="Times New Roman" w:hAnsi="Times New Roman"/>
                <w:b w:val="false"/>
                <w:i w:val="false"/>
                <w:color w:val="000000"/>
                <w:sz w:val="12"/>
              </w:rPr>
              <w:t>public and is confidential and not open to public</w:t>
            </w:r>
          </w:p>
          <w:p>
            <w:pPr>
              <w:spacing w:before="0" w:after="0"/>
              <w:ind w:left="268"/>
              <w:jc w:val="left"/>
            </w:pPr>
            <w:r>
              <w:rPr>
                <w:rFonts w:ascii="Times New Roman" w:hAnsi="Times New Roman"/>
                <w:b w:val="false"/>
                <w:i w:val="false"/>
                <w:color w:val="000000"/>
                <w:sz w:val="12"/>
              </w:rPr>
              <w:t>inspection.</w:t>
            </w:r>
          </w:p>
        </w:tc>
        <w:tc>
          <w:tcPr>
            <w:tcW w:w="10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NA</w:t>
            </w:r>
          </w:p>
        </w:tc>
        <w:tc>
          <w:tcPr>
            <w:tcW w:w="45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Not applicable.</w:t>
            </w:r>
          </w:p>
        </w:tc>
      </w:tr>
      <w:tr>
        <w:trPr>
          <w:trHeight w:val="210" w:hRule="atLeast"/>
        </w:trPr>
        <w:tc>
          <w:tcPr>
            <w:tcW w:w="10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69" w:type="dxa"/>
            <w:tcBorders/>
            <w:tcMar>
              <w:top w:w="30" w:type="dxa"/>
              <w:left w:w="30" w:type="dxa"/>
              <w:bottom w:w="15" w:type="dxa"/>
              <w:right w:w="30" w:type="dxa"/>
            </w:tcMar>
            <w:vAlign w:val="top"/>
          </w:tcPr>
          <w:p/>
        </w:tc>
        <w:tc>
          <w:tcPr>
            <w:tcW w:w="4525" w:type="dxa"/>
            <w:tcBorders/>
            <w:tcMar>
              <w:top w:w="30" w:type="dxa"/>
              <w:left w:w="30" w:type="dxa"/>
              <w:bottom w:w="15" w:type="dxa"/>
              <w:right w:w="30" w:type="dxa"/>
            </w:tcMar>
            <w:vAlign w:val="top"/>
          </w:tcPr>
          <w:p/>
        </w:tc>
      </w:tr>
    </w:tbl>
    <w:tbl>
      <w:tblPr>
        <w:tblW w:w="5000" w:type="pct"/>
        <w:tblCellSpacing w:w="0" w:type="auto"/>
        <w:tblBorders>
          <w:top w:val="single" w:color="000000" w:sz="8"/>
          <w:left w:val="none"/>
          <w:bottom w:val="none"/>
          <w:right w:val="none"/>
          <w:insideH w:val="none"/>
          <w:insideV w:val="none"/>
        </w:tblBorders>
        <w:tblLayout w:type="fixed"/>
      </w:tblPr>
      <w:tblGrid>
        <w:gridCol w:w="4819"/>
        <w:gridCol w:w="1037"/>
        <w:gridCol w:w="2034"/>
        <w:gridCol w:w="1554"/>
        <w:gridCol w:w="1746"/>
      </w:tblGrid>
      <w:tr>
        <w:trPr>
          <w:trHeight w:val="450" w:hRule="atLeast"/>
        </w:trPr>
        <w:tc>
          <w:tcPr>
            <w:tcW w:w="48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DESCRIPTION OF RECORD</w:t>
            </w:r>
          </w:p>
        </w:tc>
        <w:tc>
          <w:tcPr>
            <w:tcW w:w="1037"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2"/>
              </w:rPr>
              <w:t>TYPE</w:t>
            </w:r>
          </w:p>
          <w:p>
            <w:pPr>
              <w:spacing w:before="0" w:after="0"/>
              <w:ind w:left="160"/>
              <w:jc w:val="center"/>
            </w:pPr>
            <w:r>
              <w:rPr>
                <w:rFonts w:ascii="Times New Roman" w:hAnsi="Times New Roman"/>
                <w:b w:val="false"/>
                <w:i w:val="false"/>
                <w:color w:val="000000"/>
                <w:sz w:val="12"/>
              </w:rPr>
              <w:t xml:space="preserve"> OF RECORD</w:t>
            </w:r>
          </w:p>
        </w:tc>
        <w:tc>
          <w:tcPr>
            <w:tcW w:w="20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2"/>
              </w:rPr>
              <w:t>LEGAL AUTHORITY FOR CONFIDENTIALITY</w:t>
            </w:r>
          </w:p>
        </w:tc>
        <w:tc>
          <w:tcPr>
            <w:tcW w:w="155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2"/>
              </w:rPr>
              <w:t>PERSONALLY IDENTIFIABLE INFORMATION</w:t>
            </w:r>
          </w:p>
        </w:tc>
        <w:tc>
          <w:tcPr>
            <w:tcW w:w="174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2"/>
              </w:rPr>
              <w:t>LEGAL AUTHORITY FOR INFORMATION</w:t>
            </w:r>
          </w:p>
        </w:tc>
      </w:tr>
      <w:tr>
        <w:trPr>
          <w:trHeight w:val="180" w:hRule="atLeast"/>
        </w:trPr>
        <w:tc>
          <w:tcPr>
            <w:tcW w:w="48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Records of Commission, Advisory Council, and Committees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O/E</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27">
              <w:r>
                <w:rPr>
                  <w:rStyle w:val="Hyperlink"/>
                  <w:rFonts w:ascii="Times New Roman" w:hAnsi="Times New Roman"/>
                  <w:b w:val="false"/>
                  <w:i w:val="false"/>
                  <w:color w:val="000000"/>
                  <w:sz w:val="12"/>
                </w:rPr>
                <w:t>21.5</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Rule Making</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Declaratory Ruling Records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28">
              <w:r>
                <w:rPr>
                  <w:rStyle w:val="Hyperlink"/>
                  <w:rFonts w:ascii="Times New Roman" w:hAnsi="Times New Roman"/>
                  <w:b w:val="false"/>
                  <w:i w:val="false"/>
                  <w:color w:val="000000"/>
                  <w:sz w:val="12"/>
                </w:rPr>
                <w:t>22.7</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Rules and Policy Manuals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General Correspondence</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O/E/C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29">
              <w:r>
                <w:rPr>
                  <w:rStyle w:val="Hyperlink"/>
                  <w:rFonts w:ascii="Times New Roman" w:hAnsi="Times New Roman"/>
                  <w:b w:val="false"/>
                  <w:i w:val="false"/>
                  <w:color w:val="000000"/>
                  <w:sz w:val="12"/>
                </w:rPr>
                <w:t>22.7</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Yes</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570" w:hRule="atLeast"/>
        </w:trPr>
        <w:tc>
          <w:tcPr>
            <w:tcW w:w="48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Publications</w:t>
            </w:r>
          </w:p>
          <w:p>
            <w:pPr>
              <w:spacing w:before="0" w:after="0"/>
              <w:ind w:left="160"/>
              <w:jc w:val="left"/>
            </w:pPr>
            <w:r>
              <w:rPr>
                <w:rFonts w:ascii="Times New Roman" w:hAnsi="Times New Roman"/>
                <w:b w:val="false"/>
                <w:i w:val="false"/>
                <w:color w:val="000000"/>
                <w:sz w:val="12"/>
              </w:rPr>
              <w:t>• General</w:t>
            </w:r>
          </w:p>
          <w:p>
            <w:pPr>
              <w:spacing w:before="0" w:after="0"/>
              <w:ind w:left="160"/>
              <w:jc w:val="left"/>
            </w:pPr>
            <w:r>
              <w:rPr>
                <w:rFonts w:ascii="Times New Roman" w:hAnsi="Times New Roman"/>
                <w:b w:val="false"/>
                <w:i w:val="false"/>
                <w:color w:val="000000"/>
                <w:sz w:val="12"/>
              </w:rPr>
              <w:t>• GSL</w:t>
            </w:r>
          </w:p>
          <w:p>
            <w:pPr>
              <w:spacing w:before="0" w:after="0"/>
              <w:ind w:left="160"/>
              <w:jc w:val="left"/>
            </w:pPr>
            <w:r>
              <w:rPr>
                <w:rFonts w:ascii="Times New Roman" w:hAnsi="Times New Roman"/>
                <w:b w:val="false"/>
                <w:i w:val="false"/>
                <w:color w:val="000000"/>
                <w:sz w:val="12"/>
              </w:rPr>
              <w:t>• Scholarship</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Statistical Reports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Staff Reports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Financial &amp; Administrative Records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O/E/C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30">
              <w:r>
                <w:rPr>
                  <w:rStyle w:val="Hyperlink"/>
                  <w:rFonts w:ascii="Times New Roman" w:hAnsi="Times New Roman"/>
                  <w:b w:val="false"/>
                  <w:i w:val="false"/>
                  <w:color w:val="000000"/>
                  <w:sz w:val="12"/>
                </w:rPr>
                <w:t>22.7</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Yes</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Registration and Approval Records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Contracts and Interagency Agreements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31">
              <w:r>
                <w:rPr>
                  <w:rStyle w:val="Hyperlink"/>
                  <w:rFonts w:ascii="Times New Roman" w:hAnsi="Times New Roman"/>
                  <w:b w:val="false"/>
                  <w:i w:val="false"/>
                  <w:color w:val="000000"/>
                  <w:sz w:val="12"/>
                </w:rPr>
                <w:t>22.7(3)</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300"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Sealed Bids Prior to Public Opening</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C</w:t>
            </w:r>
          </w:p>
        </w:tc>
        <w:tc>
          <w:tcPr>
            <w:tcW w:w="203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2"/>
              </w:rPr>
              <w:t xml:space="preserve">Iowa Code </w:t>
            </w:r>
            <w:hyperlink r:id="rId32">
              <w:r>
                <w:rPr>
                  <w:rStyle w:val="Hyperlink"/>
                  <w:rFonts w:ascii="Times New Roman" w:hAnsi="Times New Roman"/>
                  <w:b w:val="false"/>
                  <w:i w:val="false"/>
                  <w:color w:val="000000"/>
                  <w:sz w:val="12"/>
                </w:rPr>
                <w:t>22.3</w:t>
              </w:r>
            </w:hyperlink>
            <w:r>
              <w:rPr>
                <w:rFonts w:ascii="Times New Roman" w:hAnsi="Times New Roman"/>
                <w:b w:val="false"/>
                <w:i w:val="false"/>
                <w:color w:val="000000"/>
                <w:sz w:val="12"/>
              </w:rPr>
              <w:t>,</w:t>
            </w:r>
          </w:p>
          <w:p>
            <w:pPr>
              <w:spacing w:before="0" w:after="0"/>
              <w:ind w:left="160"/>
              <w:jc w:val="center"/>
            </w:pPr>
            <w:hyperlink r:id="rId33">
              <w:r>
                <w:rPr>
                  <w:rStyle w:val="Hyperlink"/>
                  <w:rFonts w:ascii="Times New Roman" w:hAnsi="Times New Roman"/>
                  <w:b w:val="false"/>
                  <w:i w:val="false"/>
                  <w:color w:val="000000"/>
                  <w:sz w:val="12"/>
                </w:rPr>
                <w:t>22.7</w:t>
              </w:r>
            </w:hyperlink>
            <w:r>
              <w:rPr>
                <w:rFonts w:ascii="Times New Roman" w:hAnsi="Times New Roman"/>
                <w:b w:val="false"/>
                <w:i w:val="false"/>
                <w:color w:val="000000"/>
                <w:sz w:val="12"/>
              </w:rPr>
              <w:t xml:space="preserve"> and </w:t>
            </w:r>
            <w:hyperlink r:id="rId34">
              <w:r>
                <w:rPr>
                  <w:rStyle w:val="Hyperlink"/>
                  <w:rFonts w:ascii="Times New Roman" w:hAnsi="Times New Roman"/>
                  <w:b w:val="false"/>
                  <w:i w:val="false"/>
                  <w:color w:val="000000"/>
                  <w:sz w:val="12"/>
                </w:rPr>
                <w:t>72.3</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Appeal Records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35">
              <w:r>
                <w:rPr>
                  <w:rStyle w:val="Hyperlink"/>
                  <w:rFonts w:ascii="Times New Roman" w:hAnsi="Times New Roman"/>
                  <w:b w:val="false"/>
                  <w:i w:val="false"/>
                  <w:color w:val="000000"/>
                  <w:sz w:val="12"/>
                </w:rPr>
                <w:t>22.7</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Yes</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165"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Litigation Files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O/E/C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36">
              <w:r>
                <w:rPr>
                  <w:rStyle w:val="Hyperlink"/>
                  <w:rFonts w:ascii="Times New Roman" w:hAnsi="Times New Roman"/>
                  <w:b w:val="false"/>
                  <w:i w:val="false"/>
                  <w:color w:val="000000"/>
                  <w:sz w:val="12"/>
                </w:rPr>
                <w:t>22.7</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Yes</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570" w:hRule="atLeast"/>
        </w:trPr>
        <w:tc>
          <w:tcPr>
            <w:tcW w:w="48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Privileged Communication and Products of</w:t>
            </w:r>
          </w:p>
          <w:p>
            <w:pPr>
              <w:spacing w:before="0" w:after="0"/>
              <w:ind w:left="268"/>
              <w:jc w:val="left"/>
            </w:pPr>
            <w:r>
              <w:rPr>
                <w:rFonts w:ascii="Times New Roman" w:hAnsi="Times New Roman"/>
                <w:b w:val="false"/>
                <w:i w:val="false"/>
                <w:color w:val="000000"/>
                <w:sz w:val="12"/>
              </w:rPr>
              <w:t>Attorneys Representing the Commission</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E/C</w:t>
            </w:r>
          </w:p>
        </w:tc>
        <w:tc>
          <w:tcPr>
            <w:tcW w:w="203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2"/>
              </w:rPr>
              <w:t xml:space="preserve">Iowa Code </w:t>
            </w:r>
            <w:hyperlink r:id="rId37">
              <w:r>
                <w:rPr>
                  <w:rStyle w:val="Hyperlink"/>
                  <w:rFonts w:ascii="Times New Roman" w:hAnsi="Times New Roman"/>
                  <w:b w:val="false"/>
                  <w:i w:val="false"/>
                  <w:color w:val="000000"/>
                  <w:sz w:val="12"/>
                </w:rPr>
                <w:t>22.7</w:t>
              </w:r>
            </w:hyperlink>
            <w:r>
              <w:rPr>
                <w:rFonts w:ascii="Times New Roman" w:hAnsi="Times New Roman"/>
                <w:b w:val="false"/>
                <w:i w:val="false"/>
                <w:color w:val="000000"/>
                <w:sz w:val="12"/>
              </w:rPr>
              <w:t>, Iowa</w:t>
            </w:r>
          </w:p>
          <w:p>
            <w:pPr>
              <w:spacing w:before="0" w:after="0"/>
              <w:ind w:left="160"/>
              <w:jc w:val="center"/>
            </w:pPr>
            <w:r>
              <w:rPr>
                <w:rFonts w:ascii="Times New Roman" w:hAnsi="Times New Roman"/>
                <w:b w:val="false"/>
                <w:i w:val="false"/>
                <w:color w:val="000000"/>
                <w:sz w:val="12"/>
              </w:rPr>
              <w:t>Code of Professional</w:t>
            </w:r>
          </w:p>
          <w:p>
            <w:pPr>
              <w:spacing w:before="0" w:after="0"/>
              <w:ind w:left="160"/>
              <w:jc w:val="center"/>
            </w:pPr>
            <w:r>
              <w:rPr>
                <w:rFonts w:ascii="Times New Roman" w:hAnsi="Times New Roman"/>
                <w:b w:val="false"/>
                <w:i w:val="false"/>
                <w:color w:val="000000"/>
                <w:sz w:val="12"/>
              </w:rPr>
              <w:t>Responsibility for</w:t>
            </w:r>
          </w:p>
          <w:p>
            <w:pPr>
              <w:spacing w:before="0" w:after="0"/>
              <w:ind w:left="160"/>
              <w:jc w:val="center"/>
            </w:pPr>
            <w:r>
              <w:rPr>
                <w:rFonts w:ascii="Times New Roman" w:hAnsi="Times New Roman"/>
                <w:b w:val="false"/>
                <w:i w:val="false"/>
                <w:color w:val="000000"/>
                <w:sz w:val="12"/>
              </w:rPr>
              <w:t>Lawyers, Canon 4</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r>
        <w:trPr>
          <w:trHeight w:val="435" w:hRule="atLeast"/>
        </w:trPr>
        <w:tc>
          <w:tcPr>
            <w:tcW w:w="48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Individual Applicant/Recipient Records (such as those collected under</w:t>
            </w:r>
          </w:p>
          <w:p>
            <w:pPr>
              <w:spacing w:before="0" w:after="0"/>
              <w:ind w:left="268"/>
              <w:jc w:val="left"/>
            </w:pPr>
            <w:r>
              <w:rPr>
                <w:rFonts w:ascii="Times New Roman" w:hAnsi="Times New Roman"/>
                <w:b w:val="false"/>
                <w:i w:val="false"/>
                <w:color w:val="000000"/>
                <w:sz w:val="12"/>
              </w:rPr>
              <w:t>the Iowa Tuition Grant and Iowa Vocational-Technical Tuition Grant</w:t>
            </w:r>
          </w:p>
          <w:p>
            <w:pPr>
              <w:spacing w:before="0" w:after="0"/>
              <w:ind w:left="268"/>
              <w:jc w:val="left"/>
            </w:pPr>
            <w:r>
              <w:rPr>
                <w:rFonts w:ascii="Times New Roman" w:hAnsi="Times New Roman"/>
                <w:b w:val="false"/>
                <w:i w:val="false"/>
                <w:color w:val="000000"/>
                <w:sz w:val="12"/>
              </w:rPr>
              <w:t>Programs)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38">
              <w:r>
                <w:rPr>
                  <w:rStyle w:val="Hyperlink"/>
                  <w:rFonts w:ascii="Times New Roman" w:hAnsi="Times New Roman"/>
                  <w:b w:val="false"/>
                  <w:i w:val="false"/>
                  <w:color w:val="000000"/>
                  <w:sz w:val="12"/>
                </w:rPr>
                <w:t>22.7</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Yes</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P.L. 89-329</w:t>
            </w:r>
          </w:p>
        </w:tc>
      </w:tr>
      <w:tr>
        <w:trPr>
          <w:trHeight w:val="300" w:hRule="atLeast"/>
        </w:trPr>
        <w:tc>
          <w:tcPr>
            <w:tcW w:w="4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Collections</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C</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xml:space="preserve">Iowa Code </w:t>
            </w:r>
            <w:hyperlink r:id="rId39">
              <w:r>
                <w:rPr>
                  <w:rStyle w:val="Hyperlink"/>
                  <w:rFonts w:ascii="Times New Roman" w:hAnsi="Times New Roman"/>
                  <w:b w:val="false"/>
                  <w:i w:val="false"/>
                  <w:color w:val="000000"/>
                  <w:sz w:val="12"/>
                </w:rPr>
                <w:t>22.7</w:t>
              </w:r>
            </w:hyperlink>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Yes</w:t>
            </w:r>
          </w:p>
        </w:tc>
        <w:tc>
          <w:tcPr>
            <w:tcW w:w="174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2"/>
              </w:rPr>
              <w:t xml:space="preserve">Sec. 428[b-c] and </w:t>
            </w:r>
          </w:p>
          <w:p>
            <w:pPr>
              <w:spacing w:before="0" w:after="0"/>
              <w:ind w:left="268"/>
              <w:jc w:val="center"/>
            </w:pPr>
            <w:r>
              <w:rPr>
                <w:rFonts w:ascii="Times New Roman" w:hAnsi="Times New Roman"/>
                <w:b w:val="false"/>
                <w:i w:val="false"/>
                <w:color w:val="000000"/>
                <w:sz w:val="12"/>
              </w:rPr>
              <w:t>Sec. 488[c]</w:t>
            </w:r>
          </w:p>
        </w:tc>
      </w:tr>
      <w:tr>
        <w:trPr>
          <w:trHeight w:val="435" w:hRule="atLeast"/>
        </w:trPr>
        <w:tc>
          <w:tcPr>
            <w:tcW w:w="48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State and Federal Program Records (such as those maintained under</w:t>
            </w:r>
          </w:p>
          <w:p>
            <w:pPr>
              <w:spacing w:before="0" w:after="0"/>
              <w:ind w:left="268"/>
              <w:jc w:val="left"/>
            </w:pPr>
            <w:r>
              <w:rPr>
                <w:rFonts w:ascii="Times New Roman" w:hAnsi="Times New Roman"/>
                <w:b w:val="false"/>
                <w:i w:val="false"/>
                <w:color w:val="000000"/>
                <w:sz w:val="12"/>
              </w:rPr>
              <w:t>the Iowa Tuition Grant Program and the John R. Justice Student</w:t>
            </w:r>
          </w:p>
          <w:p>
            <w:pPr>
              <w:spacing w:before="0" w:after="0"/>
              <w:ind w:left="268"/>
              <w:jc w:val="left"/>
            </w:pPr>
            <w:r>
              <w:rPr>
                <w:rFonts w:ascii="Times New Roman" w:hAnsi="Times New Roman"/>
                <w:b w:val="false"/>
                <w:i w:val="false"/>
                <w:color w:val="000000"/>
                <w:sz w:val="12"/>
              </w:rPr>
              <w:t>Loan Repayment Program)</w:t>
            </w:r>
          </w:p>
        </w:tc>
        <w:tc>
          <w:tcPr>
            <w:tcW w:w="10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O</w:t>
            </w:r>
          </w:p>
        </w:tc>
        <w:tc>
          <w:tcPr>
            <w:tcW w:w="20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c>
          <w:tcPr>
            <w:tcW w:w="15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No</w:t>
            </w:r>
          </w:p>
        </w:tc>
        <w:tc>
          <w:tcPr>
            <w:tcW w:w="17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NA</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1869C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0">
        <w:r>
          <w:rPr>
            <w:rStyle w:val="Hyperlink"/>
            <w:rFonts w:ascii="Times New Roman" w:hAnsi="Times New Roman"/>
            <w:b w:val="false"/>
            <w:i w:val="false"/>
            <w:color w:val="000000"/>
            <w:sz w:val="22"/>
          </w:rPr>
          <w:t>256.178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1869C</w:t>
      </w:r>
      <w:r>
        <w:rPr>
          <w:rFonts w:ascii="Times New Roman" w:hAnsi="Times New Roman"/>
          <w:b w:val="false"/>
          <w:i w:val="false"/>
          <w:color w:val="000000"/>
          <w:sz w:val="21"/>
        </w:rPr>
        <w:t xml:space="preserve"> (Notice ARC 1689C, IAB 10/29/14)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8.pdf" Type="http://schemas.openxmlformats.org/officeDocument/2006/relationships/hyperlink" Id="rId9"/>
    <Relationship TargetMode="External" Target="https://www.legis.iowa.gov/docs/ico/chapter/22.10.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ac/rule/283.6.4.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ac/rule/283.6.3.pdf" Type="http://schemas.openxmlformats.org/officeDocument/2006/relationships/hyperlink" Id="rId15"/>
    <Relationship TargetMode="External" Target="https://www.legis.iowa.gov/docs/ico/chapter/22.8.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8.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ac/rule/283.6.7.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9.pdf" Type="http://schemas.openxmlformats.org/officeDocument/2006/relationships/hyperlink" Id="rId26"/>
    <Relationship TargetMode="External" Target="https://www.legis.iowa.gov/docs/ico/chapter/21.5.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2.3.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co/chapter/72.3.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56.178.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