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CONTESTED CASES</w:t>
      </w:r>
    </w:p>
    <w:p>
      <w:pPr>
        <w:spacing w:before="0" w:after="0"/>
        <w:ind w:left="120"/>
        <w:jc w:val="center"/>
      </w:pPr>
      <w:r>
        <w:rPr>
          <w:rFonts w:ascii="Times New Roman" w:hAnsi="Times New Roman"/>
          <w:b w:val="false"/>
          <w:i w:val="false"/>
          <w:color w:val="000000"/>
          <w:sz w:val="14"/>
        </w:rPr>
        <w:t>[Prior to 10/15/03, see 283—Ch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283—5.1</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This chapter applies to contested case proceedings conducted by the college student aid commission.</w:t>
      </w:r>
    </w:p>
    <w:p>
      <w:pPr>
        <w:spacing w:before="0" w:after="0"/>
        <w:ind w:left="120"/>
        <w:jc w:val="both"/>
      </w:pPr>
      <w:r>
        <w:rPr>
          <w:rFonts w:ascii="Times New Roman" w:hAnsi="Times New Roman"/>
          <w:b/>
          <w:i w:val="false"/>
          <w:color w:val="000000"/>
          <w:sz w:val="22"/>
        </w:rPr>
        <w:t>283—5.2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5">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6">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of a decision or order or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each person or agency named or admitted as a party or properly seeking and entitled as of right to be admitted 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the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presiding officer’s recommended findings of fact, conclusions of law, decision, and order in a contested case in which the college student aid commission did not preside.</w:t>
      </w:r>
    </w:p>
    <w:p>
      <w:pPr>
        <w:spacing w:before="0" w:after="0"/>
        <w:ind w:left="120"/>
        <w:jc w:val="both"/>
      </w:pPr>
      <w:r>
        <w:rPr>
          <w:rFonts w:ascii="Times New Roman" w:hAnsi="Times New Roman"/>
          <w:b/>
          <w:i w:val="false"/>
          <w:color w:val="000000"/>
          <w:sz w:val="22"/>
        </w:rPr>
        <w:t>283—5.3</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shall be computed as provided in Iowa Code section </w:t>
      </w:r>
      <w:hyperlink r:id="rId7">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Except for good cause stated in the record, before extending or shortening the time to take any action, the presiding officer shall afford all parties an opportunity to be heard or to file written arguments.</w:t>
      </w:r>
    </w:p>
    <w:p>
      <w:pPr>
        <w:spacing w:before="0" w:after="0"/>
        <w:ind w:left="120"/>
        <w:jc w:val="both"/>
      </w:pPr>
      <w:r>
        <w:rPr>
          <w:rFonts w:ascii="Times New Roman" w:hAnsi="Times New Roman"/>
          <w:b/>
          <w:i w:val="false"/>
          <w:color w:val="000000"/>
          <w:sz w:val="22"/>
        </w:rPr>
        <w:t>283—5.4</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Requests for contested case proceeding. </w:t>
      </w:r>
      <w:r>
        <w:rPr>
          <w:rFonts w:ascii="Times New Roman" w:hAnsi="Times New Roman"/>
          <w:b w:val="false"/>
          <w:i w:val="false"/>
          <w:color w:val="000000"/>
          <w:sz w:val="22"/>
        </w:rPr>
        <w:t>Any person claiming an entitlement to a contested case proceeding shall file a written request for such a proceeding within the time specified by the particular rules or statutes governing the subject matter or, in the absence of such law, the time specified in the commission action in question.</w:t>
      </w:r>
    </w:p>
    <w:p>
      <w:pPr>
        <w:spacing w:before="0" w:after="0"/>
        <w:ind w:left="120"/>
        <w:jc w:val="both"/>
      </w:pPr>
      <w:r>
        <w:rPr>
          <w:rFonts w:ascii="Times New Roman" w:hAnsi="Times New Roman"/>
          <w:b w:val="false"/>
          <w:i w:val="false"/>
          <w:color w:val="000000"/>
          <w:sz w:val="22"/>
        </w:rPr>
        <w:t>The request for a contested case proceeding should state the name and address of the requester, identify the specific commission action which is disputed, and, where the requester is represented by a lawyer, identify the provisions of law or precedent requiring or authorizing the holding of a contested case proceeding in the particular circumstances involved, and include a short and plain statement of the issues of material fact in dispute.</w:t>
      </w:r>
    </w:p>
    <w:p>
      <w:pPr>
        <w:spacing w:before="0" w:after="0"/>
        <w:ind w:left="120"/>
        <w:jc w:val="both"/>
      </w:pPr>
      <w:r>
        <w:rPr>
          <w:rFonts w:ascii="Times New Roman" w:hAnsi="Times New Roman"/>
          <w:b/>
          <w:i w:val="false"/>
          <w:color w:val="000000"/>
          <w:sz w:val="22"/>
        </w:rPr>
        <w:t>283—5.5</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Delivery of the notice of hearing constitutes the commencement of the contested case proceeding. Delivery may be executed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as provided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First-class mail;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Publication,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notice of hearing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If the commission or other party is unable to state the matters in detail at the time the notice is served, the initial notice may be limited to a statement of the issues involved. Thereafter, upon application, a more definite and detailed statement shall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person who will act as advocate for the commission or the state and of parties’ counsel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presiding officer, if known. If not known, a description of who will serve as presiding officer (e.g., agency head, members of multimembered agency head, administrative law judge from the department of inspections and appeals);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of the time period in which a party may request, pursuant to Iowa Code section </w:t>
      </w:r>
      <w:hyperlink r:id="rId8">
        <w:r>
          <w:rPr>
            <w:rStyle w:val="Hyperlink"/>
            <w:rFonts w:ascii="Times New Roman" w:hAnsi="Times New Roman"/>
            <w:b w:val="false"/>
            <w:i w:val="false"/>
            <w:color w:val="000000"/>
            <w:sz w:val="22"/>
          </w:rPr>
          <w:t>17A.11(1)</w:t>
        </w:r>
      </w:hyperlink>
      <w:r>
        <w:rPr>
          <w:rFonts w:ascii="Times New Roman" w:hAnsi="Times New Roman"/>
          <w:b w:val="false"/>
          <w:i w:val="false"/>
          <w:color w:val="000000"/>
          <w:sz w:val="22"/>
        </w:rPr>
        <w:t xml:space="preserve"> and rule </w:t>
      </w:r>
      <w:hyperlink r:id="rId9">
        <w:r>
          <w:rPr>
            <w:rStyle w:val="Hyperlink"/>
            <w:rFonts w:ascii="Times New Roman" w:hAnsi="Times New Roman"/>
            <w:b w:val="false"/>
            <w:i w:val="false"/>
            <w:color w:val="000000"/>
            <w:sz w:val="22"/>
          </w:rPr>
          <w:t>283—5.6(17A)</w:t>
        </w:r>
      </w:hyperlink>
      <w:r>
        <w:rPr>
          <w:rFonts w:ascii="Times New Roman" w:hAnsi="Times New Roman"/>
          <w:b w:val="false"/>
          <w:i w:val="false"/>
          <w:color w:val="000000"/>
          <w:sz w:val="22"/>
        </w:rPr>
        <w:t>, that the presiding officer be an administrative law judge.</w:t>
      </w:r>
    </w:p>
    <w:p>
      <w:pPr>
        <w:spacing w:before="0" w:after="0"/>
        <w:ind w:left="120"/>
        <w:jc w:val="both"/>
      </w:pPr>
      <w:r>
        <w:rPr>
          <w:rFonts w:ascii="Times New Roman" w:hAnsi="Times New Roman"/>
          <w:b/>
          <w:i w:val="false"/>
          <w:color w:val="000000"/>
          <w:sz w:val="22"/>
        </w:rPr>
        <w:t>283—5.6</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w:t>
      </w:r>
      <w:r>
        <w:rPr>
          <w:rFonts w:ascii="Times New Roman" w:hAnsi="Times New Roman"/>
          <w:b w:val="false"/>
          <w:i w:val="false"/>
          <w:color w:val="000000"/>
          <w:sz w:val="22"/>
        </w:rPr>
        <w:t> </w:t>
      </w:r>
      <w:r>
        <w:rPr>
          <w:rFonts w:ascii="Times New Roman" w:hAnsi="Times New Roman"/>
          <w:b w:val="false"/>
          <w:i w:val="false"/>
          <w:color w:val="000000"/>
          <w:sz w:val="22"/>
        </w:rPr>
        <w:t>Any party who wishes to request that the presiding officer assigned to render a proposed decision be an administrative law judge employed by the department of inspections and appeals must file a written request within 20 days or such other time period the commission designates after service of a notice of hearing which identifies or describes the presiding officer as the executive director or members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w:t>
      </w:r>
      <w:r>
        <w:rPr>
          <w:rFonts w:ascii="Times New Roman" w:hAnsi="Times New Roman"/>
          <w:b w:val="false"/>
          <w:i w:val="false"/>
          <w:color w:val="000000"/>
          <w:sz w:val="22"/>
        </w:rPr>
        <w:t> </w:t>
      </w:r>
      <w:r>
        <w:rPr>
          <w:rFonts w:ascii="Times New Roman" w:hAnsi="Times New Roman"/>
          <w:b w:val="false"/>
          <w:i w:val="false"/>
          <w:color w:val="000000"/>
          <w:sz w:val="22"/>
        </w:rPr>
        <w:t>The commission or its designee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Neither the commission nor any officer of the commission under whose authority the contested case is to take place is a named party to the proceeding or a real party in interest to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qualified administrative law judge is unavailable to hear the case within a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interagency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w:t>
      </w:r>
      <w:r>
        <w:rPr>
          <w:rFonts w:ascii="Times New Roman" w:hAnsi="Times New Roman"/>
          <w:b w:val="false"/>
          <w:i w:val="false"/>
          <w:color w:val="000000"/>
          <w:sz w:val="22"/>
        </w:rPr>
        <w:t> </w:t>
      </w:r>
      <w:r>
        <w:rPr>
          <w:rFonts w:ascii="Times New Roman" w:hAnsi="Times New Roman"/>
          <w:b w:val="false"/>
          <w:i w:val="false"/>
          <w:color w:val="000000"/>
          <w:sz w:val="22"/>
        </w:rPr>
        <w:t>The commission or its designee shall issue a written ruling specifying the grounds for its decision within 20 days or such other time period the commission designates after a request for an administrative law judge is filed. The parties shall be notified at least 10 days prior to hearing if a qualified administrative law judge will not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5.6(4)</w:t>
      </w:r>
      <w:r>
        <w:rPr>
          <w:rFonts w:ascii="Times New Roman" w:hAnsi="Times New Roman"/>
          <w:b w:val="false"/>
          <w:i w:val="false"/>
          <w:color w:val="000000"/>
          <w:sz w:val="22"/>
        </w:rPr>
        <w:t> </w:t>
      </w:r>
      <w:r>
        <w:rPr>
          <w:rFonts w:ascii="Times New Roman" w:hAnsi="Times New Roman"/>
          <w:b w:val="false"/>
          <w:i w:val="false"/>
          <w:color w:val="000000"/>
          <w:sz w:val="22"/>
        </w:rPr>
        <w:t>Except as provided otherwise by another provision of law, all rulings by an administrative law judge acting as presiding officer are subject to appeal to the commission. A party must seek any available intra-agency appeal in order to exhaust adequate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5.6(5)</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agency heads and members of multimembered agency heads, when reviewing a proposed decision upon intra-agency appeal, shall have the powers of and shall comply with the provisions of this chapter which apply to presiding officers.</w:t>
      </w:r>
    </w:p>
    <w:p>
      <w:pPr>
        <w:spacing w:before="210" w:after="0"/>
        <w:ind w:left="120"/>
        <w:jc w:val="both"/>
      </w:pPr>
      <w:r>
        <w:rPr>
          <w:rFonts w:ascii="Times New Roman" w:hAnsi="Times New Roman"/>
          <w:b/>
          <w:i w:val="false"/>
          <w:color w:val="000000"/>
          <w:sz w:val="22"/>
        </w:rPr>
        <w:t>283—5.7</w:t>
      </w:r>
      <w:r>
        <w:rPr>
          <w:rFonts w:ascii="Times New Roman" w:hAnsi="Times New Roman"/>
          <w:b/>
          <w:i w:val="false"/>
          <w:color w:val="000000"/>
          <w:sz w:val="22"/>
        </w:rPr>
        <w:t xml:space="preserve">(17A)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contested case proceeding may waive any provision of this chapter. However, the commission, in its discretion, may refuse to give effect to such a waiver when it deems the waiver to be inconsistent with the public interest.</w:t>
      </w:r>
    </w:p>
    <w:p>
      <w:pPr>
        <w:spacing w:before="210" w:after="0"/>
        <w:ind w:left="120"/>
        <w:jc w:val="both"/>
      </w:pPr>
      <w:r>
        <w:rPr>
          <w:rFonts w:ascii="Times New Roman" w:hAnsi="Times New Roman"/>
          <w:b/>
          <w:i w:val="false"/>
          <w:color w:val="000000"/>
          <w:sz w:val="22"/>
        </w:rPr>
        <w:t>283—5.8</w:t>
      </w:r>
      <w:r>
        <w:rPr>
          <w:rFonts w:ascii="Times New Roman" w:hAnsi="Times New Roman"/>
          <w:b/>
          <w:i w:val="false"/>
          <w:color w:val="000000"/>
          <w:sz w:val="22"/>
        </w:rPr>
        <w:t xml:space="preserve">(17A) </w:t>
      </w:r>
      <w:r>
        <w:rPr>
          <w:rFonts w:ascii="Times New Roman" w:hAnsi="Times New Roman"/>
          <w:b/>
          <w:i w:val="false"/>
          <w:color w:val="000000"/>
          <w:sz w:val="22"/>
        </w:rPr>
        <w:t xml:space="preserve">Telephone proceedings. </w:t>
      </w:r>
      <w:r>
        <w:rPr>
          <w:rFonts w:ascii="Times New Roman" w:hAnsi="Times New Roman"/>
          <w:b w:val="false"/>
          <w:i w:val="false"/>
          <w:color w:val="000000"/>
          <w:sz w:val="22"/>
        </w:rPr>
        <w:t>The presiding officer may resolve preliminary procedural motions by telephone conference in which all parties have an opportunity to participate. Other telephone proceedings may be held with the consent of all parties. The presiding officer will determine the location of the parties and witnesses for telephone hearings. The convenience of the witnesses or parties, as well as the nature of the case, will be considered when location is chosen.</w:t>
      </w:r>
    </w:p>
    <w:p>
      <w:pPr>
        <w:spacing w:before="0" w:after="0"/>
        <w:ind w:left="120"/>
        <w:jc w:val="both"/>
      </w:pPr>
      <w:r>
        <w:rPr>
          <w:rFonts w:ascii="Times New Roman" w:hAnsi="Times New Roman"/>
          <w:b/>
          <w:i w:val="false"/>
          <w:color w:val="000000"/>
          <w:sz w:val="22"/>
        </w:rPr>
        <w:t>283—5.9</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 (1) is a party to the case, or an officer, director or trustee of a party; (2) is a lawyer in the case; (3) is known to have an interest that could be substantially affected by the outcome of the case; or (4) 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which is relayed to assigned investigators, review of another person’s investigative work product in the course of determining whether there is probable cause to initiate a proceeding, or exposure to factual information while performing other commission functions, including fact gathering for purposes other than investigation of the matter which culminates in a contested case. Factual information relevant to the merits of a contested case received by a person who later serves as presiding officer in that case shall be disclosed if required by Iowa Code section </w:t>
      </w:r>
      <w:hyperlink r:id="rId10">
        <w:r>
          <w:rPr>
            <w:rStyle w:val="Hyperlink"/>
            <w:rFonts w:ascii="Times New Roman" w:hAnsi="Times New Roman"/>
            <w:b w:val="false"/>
            <w:i w:val="false"/>
            <w:color w:val="000000"/>
            <w:sz w:val="22"/>
          </w:rPr>
          <w:t>17A.17(3)</w:t>
        </w:r>
      </w:hyperlink>
      <w:r>
        <w:rPr>
          <w:rFonts w:ascii="Times New Roman" w:hAnsi="Times New Roman"/>
          <w:b w:val="false"/>
          <w:i w:val="false"/>
          <w:color w:val="000000"/>
          <w:sz w:val="22"/>
        </w:rPr>
        <w:t xml:space="preserve"> and subrules </w:t>
      </w:r>
      <w:hyperlink r:id="rId11">
        <w:r>
          <w:rPr>
            <w:rStyle w:val="Hyperlink"/>
            <w:rFonts w:ascii="Times New Roman" w:hAnsi="Times New Roman"/>
            <w:b w:val="false"/>
            <w:i w:val="false"/>
            <w:color w:val="000000"/>
            <w:sz w:val="22"/>
          </w:rPr>
          <w:t>5.9(3)</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5.23(9)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which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subrule </w:t>
      </w:r>
      <w:hyperlink r:id="rId13">
        <w:r>
          <w:rPr>
            <w:rStyle w:val="Hyperlink"/>
            <w:rFonts w:ascii="Times New Roman" w:hAnsi="Times New Roman"/>
            <w:b w:val="false"/>
            <w:i w:val="false"/>
            <w:color w:val="000000"/>
            <w:sz w:val="22"/>
          </w:rPr>
          <w:t>5.9(1)</w:t>
        </w:r>
      </w:hyperlink>
      <w:r>
        <w:rPr>
          <w:rFonts w:ascii="Times New Roman" w:hAnsi="Times New Roman"/>
          <w:b w:val="false"/>
          <w:i w:val="false"/>
          <w:color w:val="000000"/>
          <w:sz w:val="22"/>
        </w:rPr>
        <w:t xml:space="preserve">, the party shall file a motion supported by an affidavit pursuant to Iowa Code section </w:t>
      </w:r>
      <w:hyperlink r:id="rId14">
        <w:r>
          <w:rPr>
            <w:rStyle w:val="Hyperlink"/>
            <w:rFonts w:ascii="Times New Roman" w:hAnsi="Times New Roman"/>
            <w:b w:val="false"/>
            <w:i w:val="false"/>
            <w:color w:val="000000"/>
            <w:sz w:val="22"/>
          </w:rPr>
          <w:t>17A.17(7)</w:t>
        </w:r>
      </w:hyperlink>
      <w:r>
        <w:rPr>
          <w:rFonts w:ascii="Times New Roman" w:hAnsi="Times New Roman"/>
          <w:b w:val="false"/>
          <w:i w:val="false"/>
          <w:color w:val="000000"/>
          <w:sz w:val="22"/>
        </w:rPr>
        <w:t>. The motion must be filed as soon as practicable after the reason alleged in the motion becomes known to the party.</w:t>
      </w:r>
    </w:p>
    <w:p>
      <w:pPr>
        <w:spacing w:before="0" w:after="0"/>
        <w:ind w:left="120"/>
        <w:jc w:val="both"/>
      </w:pPr>
      <w:r>
        <w:rPr>
          <w:rFonts w:ascii="Times New Roman" w:hAnsi="Times New Roman"/>
          <w:b w:val="false"/>
          <w:i w:val="false"/>
          <w:color w:val="000000"/>
          <w:sz w:val="22"/>
        </w:rPr>
        <w:t>If, during the course of the hearing, a party first becomes aware of evidence of bias or other grounds for disqualification, the party may move for disqualification but must establish the grounds by the introduction of evidence into the record.</w:t>
      </w:r>
    </w:p>
    <w:p>
      <w:pPr>
        <w:spacing w:before="0" w:after="0"/>
        <w:ind w:left="120"/>
        <w:jc w:val="both"/>
      </w:pPr>
      <w:r>
        <w:rPr>
          <w:rFonts w:ascii="Times New Roman" w:hAnsi="Times New Roman"/>
          <w:b w:val="false"/>
          <w:i w:val="false"/>
          <w:color w:val="000000"/>
          <w:sz w:val="22"/>
        </w:rPr>
        <w:t xml:space="preserve">If the presiding officer determines that disqualification is appropriate, the presiding officer or other person shall withdraw. If the presiding officer determines that withdrawal is not required, the presiding officer shall enter an order to that effect. A party asserting disqualification may seek an interlocutory appeal under rule </w:t>
      </w:r>
      <w:hyperlink r:id="rId15">
        <w:r>
          <w:rPr>
            <w:rStyle w:val="Hyperlink"/>
            <w:rFonts w:ascii="Times New Roman" w:hAnsi="Times New Roman"/>
            <w:b w:val="false"/>
            <w:i w:val="false"/>
            <w:color w:val="000000"/>
            <w:sz w:val="22"/>
          </w:rPr>
          <w:t>283—5.25(17A)</w:t>
        </w:r>
      </w:hyperlink>
      <w:r>
        <w:rPr>
          <w:rFonts w:ascii="Times New Roman" w:hAnsi="Times New Roman"/>
          <w:b w:val="false"/>
          <w:i w:val="false"/>
          <w:color w:val="000000"/>
          <w:sz w:val="22"/>
        </w:rPr>
        <w:t xml:space="preserve"> and seek a stay under rule </w:t>
      </w:r>
      <w:hyperlink r:id="rId16">
        <w:r>
          <w:rPr>
            <w:rStyle w:val="Hyperlink"/>
            <w:rFonts w:ascii="Times New Roman" w:hAnsi="Times New Roman"/>
            <w:b w:val="false"/>
            <w:i w:val="false"/>
            <w:color w:val="000000"/>
            <w:sz w:val="22"/>
          </w:rPr>
          <w:t>283—5.29(17A)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283—5.10</w:t>
      </w:r>
      <w:r>
        <w:rPr>
          <w:rFonts w:ascii="Times New Roman" w:hAnsi="Times New Roman"/>
          <w:b/>
          <w:i w:val="false"/>
          <w:color w:val="000000"/>
          <w:sz w:val="22"/>
        </w:rPr>
        <w:t xml:space="preserve">(17A)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 (a) the matters at issue involve common parties or common questions of fact or law; (b) consolidation would expedite and simplify consideration of the issues involved; and (c) 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ind w:left="120"/>
        <w:jc w:val="both"/>
      </w:pPr>
      <w:r>
        <w:rPr>
          <w:rFonts w:ascii="Times New Roman" w:hAnsi="Times New Roman"/>
          <w:b/>
          <w:i w:val="false"/>
          <w:color w:val="000000"/>
          <w:sz w:val="22"/>
        </w:rPr>
        <w:t>283—5.11</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w:t>
      </w:r>
      <w:r>
        <w:rPr>
          <w:rFonts w:ascii="Times New Roman" w:hAnsi="Times New Roman"/>
          <w:b w:val="false"/>
          <w:i w:val="false"/>
          <w:color w:val="000000"/>
          <w:sz w:val="22"/>
        </w:rPr>
        <w:t> </w:t>
      </w:r>
      <w:r>
        <w:rPr>
          <w:rFonts w:ascii="Times New Roman" w:hAnsi="Times New Roman"/>
          <w:b w:val="false"/>
          <w:i w:val="false"/>
          <w:color w:val="000000"/>
          <w:sz w:val="22"/>
        </w:rPr>
        <w:t>Pleadings may be required by rule, by the notice of hearing, or by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w:t>
      </w:r>
      <w:r>
        <w:rPr>
          <w:rFonts w:ascii="Times New Roman" w:hAnsi="Times New Roman"/>
          <w:b w:val="false"/>
          <w:i w:val="false"/>
          <w:color w:val="000000"/>
          <w:sz w:val="22"/>
        </w:rPr>
        <w:t> </w:t>
      </w:r>
      <w:r>
        <w:rPr>
          <w:rFonts w:ascii="Times New Roman" w:hAnsi="Times New Roman"/>
          <w:b w:val="false"/>
          <w:i w:val="false"/>
          <w:color w:val="000000"/>
          <w:sz w:val="22"/>
        </w:rPr>
        <w:t>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petition required in a contested case proceeding shall be filed within 20 days of delivery of the notice of hearing or subsequent order of the presiding officer, unless otherwise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petition shall state in separately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or entities on whose behalf the petition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particular provisions of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relief demanded and the facts and law relied upon for such relief;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petitioner and the petitioner’s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w:t>
      </w:r>
      <w:r>
        <w:rPr>
          <w:rFonts w:ascii="Times New Roman" w:hAnsi="Times New Roman"/>
          <w:b w:val="false"/>
          <w:i w:val="false"/>
          <w:color w:val="000000"/>
          <w:sz w:val="22"/>
        </w:rPr>
        <w:t> </w:t>
      </w:r>
      <w:r>
        <w:rPr>
          <w:rFonts w:ascii="Times New Roman" w:hAnsi="Times New Roman"/>
          <w:b w:val="false"/>
          <w:i w:val="false"/>
          <w:color w:val="000000"/>
          <w:sz w:val="22"/>
        </w:rPr>
        <w:t>Answer. An answer shall be filed within 20 days of service of the petition unless otherwise ordered. A party may move to dismiss or apply for a more definite and detailed statement when appropriate.</w:t>
      </w:r>
    </w:p>
    <w:p>
      <w:pPr>
        <w:spacing w:before="0" w:after="0"/>
        <w:ind w:left="120"/>
        <w:jc w:val="both"/>
      </w:pPr>
      <w:r>
        <w:rPr>
          <w:rFonts w:ascii="Times New Roman" w:hAnsi="Times New Roman"/>
          <w:b w:val="false"/>
          <w:i w:val="false"/>
          <w:color w:val="000000"/>
          <w:sz w:val="22"/>
        </w:rPr>
        <w:t>An answer shall show on whose behalf it is filed and specifically admit, deny, or otherwise answer all material allegations of the pleading to which it responds. It shall state any facts deemed to show an affirmative defense and contain as many additional defenses as the pleader may claim.</w:t>
      </w:r>
    </w:p>
    <w:p>
      <w:pPr>
        <w:spacing w:before="0" w:after="0"/>
        <w:ind w:left="120"/>
        <w:jc w:val="both"/>
      </w:pPr>
      <w:r>
        <w:rPr>
          <w:rFonts w:ascii="Times New Roman" w:hAnsi="Times New Roman"/>
          <w:b w:val="false"/>
          <w:i w:val="false"/>
          <w:color w:val="000000"/>
          <w:sz w:val="22"/>
        </w:rPr>
        <w:t>An answer shall state the name, address and telephone number of the person filing the answer, the person or entity on whose behalf it is filed, and the attorney representing that person, if any.</w:t>
      </w:r>
    </w:p>
    <w:p>
      <w:pPr>
        <w:spacing w:before="0" w:after="0"/>
        <w:ind w:left="120"/>
        <w:jc w:val="both"/>
      </w:pPr>
      <w:r>
        <w:rPr>
          <w:rFonts w:ascii="Times New Roman" w:hAnsi="Times New Roman"/>
          <w:b w:val="false"/>
          <w:i w:val="false"/>
          <w:color w:val="000000"/>
          <w:sz w:val="22"/>
        </w:rPr>
        <w:t>Any allegation in the petition not denied in the answer is considered admitted. The presiding officer may refuse to consider any defense not raised in the answer which could have been raised on the basis of facts known when the answer was filed if any party would be prejudiced.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w:t>
      </w:r>
      <w:r>
        <w:rPr>
          <w:rFonts w:ascii="Times New Roman" w:hAnsi="Times New Roman"/>
          <w:b w:val="false"/>
          <w:i w:val="false"/>
          <w:color w:val="000000"/>
          <w:sz w:val="22"/>
        </w:rPr>
        <w:t> </w:t>
      </w:r>
      <w:r>
        <w:rPr>
          <w:rFonts w:ascii="Times New Roman" w:hAnsi="Times New Roman"/>
          <w:b w:val="false"/>
          <w:i w:val="false"/>
          <w:color w:val="000000"/>
          <w:sz w:val="22"/>
        </w:rPr>
        <w:t>Amendment. Any notice of hearing, petition, or other charging document may be amended before a responsive pleading has been filed. Amendments to pleadings after a responsive pleading has been filed and to an answer may be allowed with the consent of the other parties or in the discretion of the presiding officer who may impose terms or grant a continuance.</w:t>
      </w:r>
    </w:p>
    <w:p>
      <w:pPr>
        <w:spacing w:before="0" w:after="0"/>
        <w:ind w:left="120"/>
        <w:jc w:val="both"/>
      </w:pPr>
      <w:r>
        <w:rPr>
          <w:rFonts w:ascii="Times New Roman" w:hAnsi="Times New Roman"/>
          <w:b/>
          <w:i w:val="false"/>
          <w:color w:val="000000"/>
          <w:sz w:val="22"/>
        </w:rPr>
        <w:t>283—5.12</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 xml:space="preserve">Except where otherwise provided by law, every pleading, motion, document, or other paper filed in a contested case proceeding and every paper relating to discovery in such a proceeding shall be served upon each of the parties of record to the proceeding, including the person designated as advocate or prosecutor for the state or the commission, simultaneously with their filing. Except for the original notice of hearing and an application for rehearing as provided in Iowa Code section </w:t>
      </w:r>
      <w:hyperlink r:id="rId17">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shall be made upon the attorney unless otherwise ordered. Service is made by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notice of hearing, all pleadings, motions, documents or other papers in a contested case proceeding shall be filed with the college student aid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Except where otherwise provided by law, a document is deemed filed at the time it is delivered to the college student aid commission, delivered to an established courier service for immediate delivery to that office, or mailed by first-class mail or state interoffice mail to that office,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 a legible United States Postal Service postmark on the envelope, a certificate of service, a notarized affidavit, or a certification in substantially the following form:</w:t>
      </w:r>
    </w:p>
    <w:p>
      <w:pPr>
        <w:spacing w:before="0" w:after="0"/>
        <w:ind w:left="356"/>
        <w:jc w:val="both"/>
      </w:pPr>
      <w:r>
        <w:rPr>
          <w:rFonts w:ascii="Times New Roman" w:hAnsi="Times New Roman"/>
          <w:b w:val="false"/>
          <w:i w:val="false"/>
          <w:color w:val="000000"/>
          <w:sz w:val="22"/>
        </w:rPr>
        <w:t>I certify under penalty of perjury and pursuant to the laws of Iowa that, on (date of mailing), I mailed copies of (describe document) addressed to the College Student Aid Commission, 400 E. 14th Street, Des Moines, Iowa 50319-0146, and to the names and addresses of the parties listed below by depositing the same in (a United States post office mailbox with correct postage properly affixed or state interoffice mail).</w:t>
      </w:r>
    </w:p>
    <w:p>
      <w:pPr>
        <w:spacing w:before="0" w:after="0"/>
        <w:ind w:left="356"/>
        <w:jc w:val="both"/>
      </w:pPr>
      <w:r>
        <w:rPr>
          <w:rFonts w:ascii="Times New Roman" w:hAnsi="Times New Roman"/>
          <w:b w:val="false"/>
          <w:i w:val="false"/>
          <w:color w:val="000000"/>
          <w:sz w:val="22"/>
        </w:rPr>
        <w:t>(Date) (Signature)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1684C</w:t>
      </w:r>
      <w:r>
        <w:rPr>
          <w:rFonts w:ascii="Times New Roman" w:hAnsi="Times New Roman"/>
          <w:b w:val="false"/>
          <w:i w:val="false"/>
          <w:color w:val="000000"/>
          <w:sz w:val="16"/>
        </w:rPr>
        <w:t>, IAB 10/29/14, effective 12/3/14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2/10/21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283—5.13</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5.13(1)</w:t>
      </w:r>
      <w:r>
        <w:rPr>
          <w:rFonts w:ascii="Times New Roman" w:hAnsi="Times New Roman"/>
          <w:b w:val="false"/>
          <w:i w:val="false"/>
          <w:color w:val="000000"/>
          <w:sz w:val="22"/>
        </w:rPr>
        <w:t> </w:t>
      </w:r>
      <w:r>
        <w:rPr>
          <w:rFonts w:ascii="Times New Roman" w:hAnsi="Times New Roman"/>
          <w:b w:val="false"/>
          <w:i w:val="false"/>
          <w:color w:val="000000"/>
          <w:sz w:val="22"/>
        </w:rPr>
        <w:t>Discovery procedures applicable in civil actions are applicable in contested cases. Unless lengthened or shortened by these rules or by order of the presiding officer, time periods for compliance with discovery shall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5.13(2)</w:t>
      </w:r>
      <w:r>
        <w:rPr>
          <w:rFonts w:ascii="Times New Roman" w:hAnsi="Times New Roman"/>
          <w:b w:val="false"/>
          <w:i w:val="false"/>
          <w:color w:val="000000"/>
          <w:sz w:val="22"/>
        </w:rPr>
        <w:t> </w:t>
      </w:r>
      <w:r>
        <w:rPr>
          <w:rFonts w:ascii="Times New Roman" w:hAnsi="Times New Roman"/>
          <w:b w:val="false"/>
          <w:i w:val="false"/>
          <w:color w:val="000000"/>
          <w:sz w:val="22"/>
        </w:rPr>
        <w:t xml:space="preserve">Any motion relating to discovery shall allege that the moving party has previously made a good-faith attempt to resolve the discovery issues involved with the opposing party. Motions in regard to discovery shall be ruled upon by the presiding officer. Opposing parties shall be afforded the opportunity to respond within ten days of the filing of the motion unless the time is shortened as provided in subrule </w:t>
      </w:r>
      <w:hyperlink r:id="rId18">
        <w:r>
          <w:rPr>
            <w:rStyle w:val="Hyperlink"/>
            <w:rFonts w:ascii="Times New Roman" w:hAnsi="Times New Roman"/>
            <w:b w:val="false"/>
            <w:i w:val="false"/>
            <w:color w:val="000000"/>
            <w:sz w:val="22"/>
          </w:rPr>
          <w:t>5.13(1)</w:t>
        </w:r>
      </w:hyperlink>
      <w:r>
        <w:rPr>
          <w:rFonts w:ascii="Times New Roman" w:hAnsi="Times New Roman"/>
          <w:b w:val="false"/>
          <w:i w:val="false"/>
          <w:color w:val="000000"/>
          <w:sz w:val="22"/>
        </w:rPr>
        <w:t>. 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5.13(3)</w:t>
      </w:r>
      <w:r>
        <w:rPr>
          <w:rFonts w:ascii="Times New Roman" w:hAnsi="Times New Roman"/>
          <w:b w:val="false"/>
          <w:i w:val="false"/>
          <w:color w:val="000000"/>
          <w:sz w:val="22"/>
        </w:rPr>
        <w:t>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ind w:left="120"/>
        <w:jc w:val="both"/>
      </w:pPr>
      <w:r>
        <w:rPr>
          <w:rFonts w:ascii="Times New Roman" w:hAnsi="Times New Roman"/>
          <w:b/>
          <w:i w:val="false"/>
          <w:color w:val="000000"/>
          <w:sz w:val="22"/>
        </w:rPr>
        <w:t>283—5.14</w:t>
      </w:r>
      <w:r>
        <w:rPr>
          <w:rFonts w:ascii="Times New Roman" w:hAnsi="Times New Roman"/>
          <w:b/>
          <w:i w:val="false"/>
          <w:color w:val="000000"/>
          <w:sz w:val="22"/>
        </w:rPr>
        <w:t xml:space="preserve">(17A)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agency subpoena shall be issued to a party on request. Such a request must be in writing. In the absence of good cause for permitting later action, a request for a subpoena must be received at least three days before the scheduled hearing. The request shall include the name, address, and telephone number of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to the extent otherwise provided by law, parties are responsible for service of their own subpoenas and payment of witness fees and mileage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5.14(2)</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or modify. </w:t>
      </w:r>
      <w:r>
        <w:rPr>
          <w:rFonts w:ascii="Times New Roman" w:hAnsi="Times New Roman"/>
          <w:b w:val="false"/>
          <w:i w:val="false"/>
          <w:color w:val="000000"/>
          <w:sz w:val="22"/>
        </w:rPr>
        <w:t>The presiding officer may quash or modify a subpoena for any lawful reason upon motion in accordance with the Iowa Rules of Civil Procedure. A motion to quash or modify a subpoena shall be set for argument promptly.</w:t>
      </w:r>
    </w:p>
    <w:p>
      <w:pPr>
        <w:spacing w:before="0" w:after="0"/>
        <w:ind w:left="120"/>
        <w:jc w:val="both"/>
      </w:pPr>
      <w:r>
        <w:rPr>
          <w:rFonts w:ascii="Times New Roman" w:hAnsi="Times New Roman"/>
          <w:b/>
          <w:i w:val="false"/>
          <w:color w:val="000000"/>
          <w:sz w:val="22"/>
        </w:rPr>
        <w:t>283—5.15</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5.15(1)</w:t>
      </w:r>
      <w:r>
        <w:rPr>
          <w:rFonts w:ascii="Times New Roman" w:hAnsi="Times New Roman"/>
          <w:b w:val="false"/>
          <w:i w:val="false"/>
          <w:color w:val="000000"/>
          <w:sz w:val="22"/>
        </w:rPr>
        <w:t> </w:t>
      </w:r>
      <w:r>
        <w:rPr>
          <w:rFonts w:ascii="Times New Roman" w:hAnsi="Times New Roman"/>
          <w:b w:val="false"/>
          <w:i w:val="false"/>
          <w:color w:val="000000"/>
          <w:sz w:val="22"/>
        </w:rPr>
        <w:t>No technical form for motions is required. However,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rules of the commission or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except motions for summary judgment, must be filed and served at least ten days prior to the date of hearing unless there is good cause for permitting later action or the time for such action is lengthened or shortened by rule of the commission or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5.15(5)</w:t>
      </w:r>
      <w:r>
        <w:rPr>
          <w:rFonts w:ascii="Times New Roman" w:hAnsi="Times New Roman"/>
          <w:b w:val="false"/>
          <w:i w:val="false"/>
          <w:color w:val="000000"/>
          <w:sz w:val="22"/>
        </w:rPr>
        <w:t> </w:t>
      </w:r>
      <w:r>
        <w:rPr>
          <w:rFonts w:ascii="Times New Roman" w:hAnsi="Times New Roman"/>
          <w:b w:val="false"/>
          <w:i w:val="false"/>
          <w:color w:val="000000"/>
          <w:sz w:val="22"/>
        </w:rPr>
        <w:t>Motions for summary judgment. Motions for summary judgment shall comply with the requirements of Iowa Rule of Civil Procedure 1.981 and shall be subject to disposition according to the requirements of that rule to the extent such requirements are not inconsistent with the provisions of this rule or any other provision of law governing the procedure in contested cases.</w:t>
      </w:r>
    </w:p>
    <w:p>
      <w:pPr>
        <w:spacing w:before="0" w:after="0"/>
        <w:ind w:left="120"/>
        <w:jc w:val="both"/>
      </w:pPr>
      <w:r>
        <w:rPr>
          <w:rFonts w:ascii="Times New Roman" w:hAnsi="Times New Roman"/>
          <w:b w:val="false"/>
          <w:i w:val="false"/>
          <w:color w:val="000000"/>
          <w:sz w:val="22"/>
        </w:rPr>
        <w:t xml:space="preserve">Motions for summary judgment must be filed and served at least 45 days prior to the scheduled hearing date, or other time period determined by the presiding officer. Any party resisting the motion shall file and serve a resistance within 15 days, unless otherwise ordered by the presiding officer, from the date a copy of the motion was served. The time fixed for hearing or nonoral submission shall be not less than 20 days after the filing of the motion, unless a shorter time is ordered by the presiding officer. A summary judgment order rendered on all issues in a contested case is subject to rehearing pursuant to </w:t>
      </w:r>
      <w:hyperlink r:id="rId19">
        <w:r>
          <w:rPr>
            <w:rStyle w:val="Hyperlink"/>
            <w:rFonts w:ascii="Times New Roman" w:hAnsi="Times New Roman"/>
            <w:b w:val="false"/>
            <w:i w:val="false"/>
            <w:color w:val="000000"/>
            <w:sz w:val="22"/>
          </w:rPr>
          <w:t>283—5.28</w:t>
        </w:r>
      </w:hyperlink>
      <w:r>
        <w:rPr>
          <w:rFonts w:ascii="Times New Roman" w:hAnsi="Times New Roman"/>
          <w:b w:val="false"/>
          <w:i w:val="false"/>
          <w:color w:val="000000"/>
          <w:sz w:val="22"/>
        </w:rPr>
        <w:t xml:space="preserve">(17A) and appeal pursuant to </w:t>
      </w:r>
      <w:hyperlink r:id="rId20">
        <w:r>
          <w:rPr>
            <w:rStyle w:val="Hyperlink"/>
            <w:rFonts w:ascii="Times New Roman" w:hAnsi="Times New Roman"/>
            <w:b w:val="false"/>
            <w:i w:val="false"/>
            <w:color w:val="000000"/>
            <w:sz w:val="22"/>
          </w:rPr>
          <w:t>283—5.27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i w:val="false"/>
          <w:color w:val="000000"/>
          <w:sz w:val="22"/>
        </w:rPr>
        <w:t>283—5.16</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A written request for prehearing conference or an order for prehearing conference on the presiding officer’s own motion shall be filed not less than seven days prior to the hearing date. A prehearing conference shall be scheduled not less than three business days prior to the hearing date.</w:t>
      </w:r>
    </w:p>
    <w:p>
      <w:pPr>
        <w:spacing w:before="0" w:after="0"/>
        <w:ind w:left="120"/>
        <w:jc w:val="both"/>
      </w:pPr>
      <w:r>
        <w:rPr>
          <w:rFonts w:ascii="Times New Roman" w:hAnsi="Times New Roman"/>
          <w:b w:val="false"/>
          <w:i w:val="false"/>
          <w:color w:val="000000"/>
          <w:sz w:val="22"/>
        </w:rPr>
        <w:t>Written notice of the prehearing conference shall be given by the executive director to all parties. For good cause the presiding officer may permit variances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5.16(2)</w:t>
      </w:r>
      <w:r>
        <w:rPr>
          <w:rFonts w:ascii="Times New Roman" w:hAnsi="Times New Roman"/>
          <w:b w:val="false"/>
          <w:i w:val="false"/>
          <w:color w:val="000000"/>
          <w:sz w:val="22"/>
        </w:rPr>
        <w:t> </w:t>
      </w:r>
      <w:r>
        <w:rPr>
          <w:rFonts w:ascii="Times New Roman" w:hAnsi="Times New Roman"/>
          <w:b w:val="false"/>
          <w:i w:val="false"/>
          <w:color w:val="000000"/>
          <w:sz w:val="22"/>
        </w:rPr>
        <w:t>Each party shall bring to the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final list of the witnesses who the party anticipates will testify at hearing. Witnesses not listed may be excluded from testifying unless there was good cause for the failure to include their names;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final list of exhibits which the party anticipates will be introduced at hearing. Exhibits other than rebuttal exhibits that are not listed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Witness or exhibit lists may be amended subsequent to the prehearing conference within the time limits established by the presiding officer at the prehearing conference. Any such amendments must be served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subrule </w:t>
      </w:r>
      <w:hyperlink r:id="rId21">
        <w:r>
          <w:rPr>
            <w:rStyle w:val="Hyperlink"/>
            <w:rFonts w:ascii="Times New Roman" w:hAnsi="Times New Roman"/>
            <w:b w:val="false"/>
            <w:i w:val="false"/>
            <w:color w:val="000000"/>
            <w:sz w:val="22"/>
          </w:rPr>
          <w:t>5.16(2)</w:t>
        </w:r>
      </w:hyperlink>
      <w:r>
        <w:rPr>
          <w:rFonts w:ascii="Times New Roman" w:hAnsi="Times New Roman"/>
          <w:b w:val="false"/>
          <w:i w:val="false"/>
          <w:color w:val="000000"/>
          <w:sz w:val="22"/>
        </w:rPr>
        <w:t>, the parties at a prehearing conference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matters which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for waiver of any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Consider any additional matters which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5.16(4)</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shall be conducted by telephone unless otherwise ordered. Parties shall exchange and receive witness and exhibit lists in advance of a telephone prehearing conference.</w:t>
      </w:r>
    </w:p>
    <w:p>
      <w:pPr>
        <w:spacing w:before="0" w:after="0"/>
        <w:ind w:left="120"/>
        <w:jc w:val="both"/>
      </w:pPr>
      <w:r>
        <w:rPr>
          <w:rFonts w:ascii="Times New Roman" w:hAnsi="Times New Roman"/>
          <w:b/>
          <w:i w:val="false"/>
          <w:color w:val="000000"/>
          <w:sz w:val="22"/>
        </w:rPr>
        <w:t>283—5.17</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shall be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application for a continuance may be made if the presiding officer waives the requirement for a written motion. However, a party making such an oral application for a continuance must confirm that request by written application within five days after the oral request unless that requirement is waived by the presiding officer. No application for continuance shall be made or granted without notice to all parties except in an emergency where notice is not feasible. The commission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require documentation of any grounds for continuance.</w:t>
      </w:r>
    </w:p>
    <w:p>
      <w:pPr>
        <w:spacing w:before="210" w:after="0"/>
        <w:ind w:left="120"/>
        <w:jc w:val="both"/>
      </w:pPr>
      <w:r>
        <w:rPr>
          <w:rFonts w:ascii="Times New Roman" w:hAnsi="Times New Roman"/>
          <w:b/>
          <w:i w:val="false"/>
          <w:color w:val="000000"/>
          <w:sz w:val="22"/>
        </w:rPr>
        <w:t>283—5.18</w:t>
      </w:r>
      <w:r>
        <w:rPr>
          <w:rFonts w:ascii="Times New Roman" w:hAnsi="Times New Roman"/>
          <w:b/>
          <w:i w:val="false"/>
          <w:color w:val="000000"/>
          <w:sz w:val="22"/>
        </w:rPr>
        <w:t xml:space="preserve">(17A)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withdraw that request prior to the hearing only in accordance with commission rules. Unless otherwise provided, a withdrawal shall be with prejudice.</w:t>
      </w:r>
    </w:p>
    <w:p>
      <w:pPr>
        <w:spacing w:before="0" w:after="0"/>
        <w:ind w:left="120"/>
        <w:jc w:val="both"/>
      </w:pPr>
      <w:r>
        <w:rPr>
          <w:rFonts w:ascii="Times New Roman" w:hAnsi="Times New Roman"/>
          <w:b/>
          <w:i w:val="false"/>
          <w:color w:val="000000"/>
          <w:sz w:val="22"/>
        </w:rPr>
        <w:t>283—5.19</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5.19(1)</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A motion for leave to intervene in a contested case proceeding shall state the grounds for the proposed intervention, the position and interest of the proposed intervenor, and the possible impact of intervention on the proceeding. A proposed answer or petition in intervention shall be attached to the motion. Any party may file a response within 14 days of service of the motion to intervene unless the time period is extended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Motion for leave to intervene shall be filed as early in the proceeding as possible to avoid adverse impact on existing parties or the conduct of the proceeding. Unless otherwise ordered, a motion for leave to intervene shall be filed before the prehearing conference, if any, or at least 20 days before the date scheduled for hearing. Any later motion must contain a statement of good cause for the failure to file in a timely manner. Unless inequitable or unjust, an intervenor shall be bound by any agreement, arrangement, or other matter previously raised in the case. Requests by untimely intervenors for continuances which would delay the proceeding will ordinarily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The movant shall demonstrate that: (a) intervention would not unduly prolong the proceedings or otherwise prejudice the rights of existing parties; (b) the movant is likely to be aggrieved or adversely affected by a final order in the proceeding; and (c) the interests of the movant are not adequately represented by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If appropriate, the presiding officer may order consolidation of the petitions and briefs of different parties whose interests are aligned with each other and limit the number of representatives allowed to participate actively in the proceedings. A person granted leave to intervene is a party to the proceeding. The order granting intervention may restrict the issues that may be raised by the intervenor or otherwise condition the intervenor’s participation in the proceeding.</w:t>
      </w:r>
    </w:p>
    <w:p>
      <w:pPr>
        <w:spacing w:before="0" w:after="0"/>
        <w:ind w:left="120"/>
        <w:jc w:val="both"/>
      </w:pPr>
      <w:r>
        <w:rPr>
          <w:rFonts w:ascii="Times New Roman" w:hAnsi="Times New Roman"/>
          <w:b/>
          <w:i w:val="false"/>
          <w:color w:val="000000"/>
          <w:sz w:val="22"/>
        </w:rPr>
        <w:t>283—5.20</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presides at the hearing, and may rule on motions, require briefs, issue a proposed decision, and issue such orders and rulings as will ensure the orderly conduct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5.20(2)</w:t>
      </w:r>
      <w:r>
        <w:rPr>
          <w:rFonts w:ascii="Times New Roman" w:hAnsi="Times New Roman"/>
          <w:b w:val="false"/>
          <w:i w:val="false"/>
          <w:color w:val="000000"/>
          <w:sz w:val="22"/>
        </w:rPr>
        <w:t>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5.20(3)</w:t>
      </w:r>
      <w:r>
        <w:rPr>
          <w:rFonts w:ascii="Times New Roman" w:hAnsi="Times New Roman"/>
          <w:b w:val="false"/>
          <w:i w:val="false"/>
          <w:color w:val="000000"/>
          <w:sz w:val="22"/>
        </w:rPr>
        <w:t> </w:t>
      </w:r>
      <w:r>
        <w:rPr>
          <w:rFonts w:ascii="Times New Roman" w:hAnsi="Times New Roman"/>
          <w:b w:val="false"/>
          <w:i w:val="false"/>
          <w:color w:val="000000"/>
          <w:sz w:val="22"/>
        </w:rPr>
        <w:t>Parties have the right to participate or to be represented in all hearings or prehearing conferences related to their case. Partnerships, corporations, or associations may be represented by any member, officer, director, or duly authorized agent. Any party may be represented by an attorney or another person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5.20(4)</w:t>
      </w:r>
      <w:r>
        <w:rPr>
          <w:rFonts w:ascii="Times New Roman" w:hAnsi="Times New Roman"/>
          <w:b w:val="false"/>
          <w:i w:val="false"/>
          <w:color w:val="000000"/>
          <w:sz w:val="22"/>
        </w:rPr>
        <w:t>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5.20(5)</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5.20(7)</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shall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shall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may be given the opportunity to present final arguments.</w:t>
      </w:r>
    </w:p>
    <w:p>
      <w:pPr>
        <w:spacing w:before="0" w:after="0"/>
        <w:ind w:left="120"/>
        <w:jc w:val="both"/>
      </w:pPr>
      <w:r>
        <w:rPr>
          <w:rFonts w:ascii="Times New Roman" w:hAnsi="Times New Roman"/>
          <w:b/>
          <w:i w:val="false"/>
          <w:color w:val="000000"/>
          <w:sz w:val="22"/>
        </w:rPr>
        <w:t>283—5.21</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shall be confined to the issues as to which the parties received notice prior to the hearing unless the parties waive their right to such notice or the presiding officer determines that good cause justifies expansion of the issues. If the presiding officer decides to admit evidence on issues outside the scope of the notice over the objection of a party who did not have actual notice of those issues, that party, upon timely request, shall receive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w:t>
      </w:r>
    </w:p>
    <w:p>
      <w:pPr>
        <w:spacing w:before="0" w:after="0"/>
        <w:ind w:left="120"/>
        <w:jc w:val="both"/>
      </w:pPr>
      <w:r>
        <w:rPr>
          <w:rFonts w:ascii="Times New Roman" w:hAnsi="Times New Roman"/>
          <w:b w:val="false"/>
          <w:i w:val="false"/>
          <w:color w:val="000000"/>
          <w:sz w:val="22"/>
        </w:rPr>
        <w:t>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ind w:left="120"/>
        <w:jc w:val="both"/>
      </w:pPr>
      <w:r>
        <w:rPr>
          <w:rFonts w:ascii="Times New Roman" w:hAnsi="Times New Roman"/>
          <w:b/>
          <w:i w:val="false"/>
          <w:color w:val="000000"/>
          <w:sz w:val="22"/>
        </w:rPr>
        <w:t>283—5.22</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requested the contested case proceeding and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5.22(3)</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commission action unless, within 15 days or other period of time specified by statute or rule after the date of notification or mailing of the decision, a motion to vacate is filed and served on all parties or an appeal of a decision on the merits is timely initiated within the time provided by rule </w:t>
      </w:r>
      <w:hyperlink r:id="rId22">
        <w:r>
          <w:rPr>
            <w:rStyle w:val="Hyperlink"/>
            <w:rFonts w:ascii="Times New Roman" w:hAnsi="Times New Roman"/>
            <w:b w:val="false"/>
            <w:i w:val="false"/>
            <w:color w:val="000000"/>
            <w:sz w:val="22"/>
          </w:rPr>
          <w:t>283—5.27</w:t>
        </w:r>
      </w:hyperlink>
      <w:r>
        <w:rPr>
          <w:rFonts w:ascii="Times New Roman" w:hAnsi="Times New Roman"/>
          <w:b w:val="false"/>
          <w:i w:val="false"/>
          <w:color w:val="000000"/>
          <w:sz w:val="22"/>
        </w:rPr>
        <w:t>(17A). A motion to vacate must state all facts relied upon by the moving party which establish that good cause existed for that party’s failure to appear or participate at the contested case proceeding. Each fact so stated must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5.22(5)</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shall be granted only for good cause shown. The burden of proof as to good cause is on the moving party. Adverse parties shall have ten days or other time specified by the commission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5.22(6)</w:t>
      </w:r>
      <w:r>
        <w:rPr>
          <w:rFonts w:ascii="Times New Roman" w:hAnsi="Times New Roman"/>
          <w:b w:val="false"/>
          <w:i w:val="false"/>
          <w:color w:val="000000"/>
          <w:sz w:val="22"/>
        </w:rPr>
        <w:t> </w:t>
      </w:r>
      <w:r>
        <w:rPr>
          <w:rFonts w:ascii="Times New Roman" w:hAnsi="Times New Roman"/>
          <w:b w:val="false"/>
          <w:i w:val="false"/>
          <w:color w:val="000000"/>
          <w:sz w:val="22"/>
        </w:rPr>
        <w:t>“Good cause” for purposes of this rule shall have the same meaning as “good cause” for setting aside a default judgment under Iowa Rule of Civil Procedure 1.977.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rule </w:t>
      </w:r>
      <w:hyperlink r:id="rId23">
        <w:r>
          <w:rPr>
            <w:rStyle w:val="Hyperlink"/>
            <w:rFonts w:ascii="Times New Roman" w:hAnsi="Times New Roman"/>
            <w:b w:val="false"/>
            <w:i w:val="false"/>
            <w:color w:val="000000"/>
            <w:sz w:val="22"/>
          </w:rPr>
          <w:t>283—5.25</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5.22(8)</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shall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5.22(9)</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request for relief made in the petition and embraced in its issues but, unless the defaulting party has appeared, it cannot exceed the relief demanded.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5.22(10)</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provide either that the default decision is to be stayed pending a timely motion to vacate or that the default decision is to take effect immediately, subject to a request for stay under rule </w:t>
      </w:r>
      <w:hyperlink r:id="rId24">
        <w:r>
          <w:rPr>
            <w:rStyle w:val="Hyperlink"/>
            <w:rFonts w:ascii="Times New Roman" w:hAnsi="Times New Roman"/>
            <w:b w:val="false"/>
            <w:i w:val="false"/>
            <w:color w:val="000000"/>
            <w:sz w:val="22"/>
          </w:rPr>
          <w:t>283—5.29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i w:val="false"/>
          <w:color w:val="000000"/>
          <w:sz w:val="22"/>
        </w:rPr>
        <w:t>283—5.23</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5.23(1)</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Prohibited communications. Unless required for the disposition of ex parte matters specifically authorized by statute, following issuance of the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This does not prohibit persons jointly assigned such tasks from communicating with each other. Nothing in this provision is intended to preclude the presiding officer from communicating with members of the commission or seeking the advice or help of persons other than those with a personal interest in, or those engaged in personally investigating as defined in subrule </w:t>
      </w:r>
      <w:hyperlink r:id="rId25">
        <w:r>
          <w:rPr>
            <w:rStyle w:val="Hyperlink"/>
            <w:rFonts w:ascii="Times New Roman" w:hAnsi="Times New Roman"/>
            <w:b w:val="false"/>
            <w:i w:val="false"/>
            <w:color w:val="000000"/>
            <w:sz w:val="22"/>
          </w:rPr>
          <w:t>5.9(2)</w:t>
        </w:r>
      </w:hyperlink>
      <w:r>
        <w:rPr>
          <w:rFonts w:ascii="Times New Roman" w:hAnsi="Times New Roman"/>
          <w:b w:val="false"/>
          <w:i w:val="false"/>
          <w:color w:val="000000"/>
          <w:sz w:val="22"/>
        </w:rPr>
        <w:t>,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notice of hearing in a contested case and continue for as long as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5.23(4)</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prohibited ex parte communications, notice must be given in a manner reasonably calculated to give all parties a fair opportunity to participate. Notice of written communications shall be provided in compliance with rule </w:t>
      </w:r>
      <w:hyperlink r:id="rId26">
        <w:r>
          <w:rPr>
            <w:rStyle w:val="Hyperlink"/>
            <w:rFonts w:ascii="Times New Roman" w:hAnsi="Times New Roman"/>
            <w:b w:val="false"/>
            <w:i w:val="false"/>
            <w:color w:val="000000"/>
            <w:sz w:val="22"/>
          </w:rPr>
          <w:t>283—5.12</w:t>
        </w:r>
      </w:hyperlink>
      <w:r>
        <w:rPr>
          <w:rFonts w:ascii="Times New Roman" w:hAnsi="Times New Roman"/>
          <w:b w:val="false"/>
          <w:i w:val="false"/>
          <w:color w:val="000000"/>
          <w:sz w:val="22"/>
        </w:rPr>
        <w:t>(17A) and may be supplemented by telephone, facsimile, electronic 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5.23(6)</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executive director or other persons may be present in deliberations or otherwise advise the presiding officer without notice or opportunity for parties to participate as long as they are not disqualified from participating in the making of a proposed or final decision under any provision of law and they comply with subrule </w:t>
      </w:r>
      <w:hyperlink r:id="rId27">
        <w:r>
          <w:rPr>
            <w:rStyle w:val="Hyperlink"/>
            <w:rFonts w:ascii="Times New Roman" w:hAnsi="Times New Roman"/>
            <w:b w:val="false"/>
            <w:i w:val="false"/>
            <w:color w:val="000000"/>
            <w:sz w:val="22"/>
          </w:rPr>
          <w:t>5.23(1)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5.23(7)</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 pursuant to rule </w:t>
      </w:r>
      <w:hyperlink r:id="rId28">
        <w:r>
          <w:rPr>
            <w:rStyle w:val="Hyperlink"/>
            <w:rFonts w:ascii="Times New Roman" w:hAnsi="Times New Roman"/>
            <w:b w:val="false"/>
            <w:i w:val="false"/>
            <w:color w:val="000000"/>
            <w:sz w:val="22"/>
          </w:rPr>
          <w:t>283—5.17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5.23(8)</w:t>
      </w:r>
      <w:r>
        <w:rPr>
          <w:rFonts w:ascii="Times New Roman" w:hAnsi="Times New Roman"/>
          <w:b w:val="false"/>
          <w:i w:val="false"/>
          <w:color w:val="000000"/>
          <w:sz w:val="22"/>
        </w:rPr>
        <w:t> </w:t>
      </w:r>
      <w:r>
        <w:rPr>
          <w:rFonts w:ascii="Times New Roman" w:hAnsi="Times New Roman"/>
          <w:b w:val="false"/>
          <w:i w:val="false"/>
          <w:color w:val="000000"/>
          <w:sz w:val="22"/>
        </w:rPr>
        <w:t>Disclosure of prohibited communications. A presiding officer who receives a prohibited ex parte communication during the pendency of a contested case must initially determine if the effect of the communication is so prejudicial that the presiding officer should be disqualified. 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shall be submitted for inclusion in the record under seal by protective order or disclosed. 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29">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or suspension or revocation of the privilege to practice before the commission. Violation of ex parte communication prohibitions by commission personnel shall be reported to the executive director for possible sanctions including censure, suspension, dismissal, or other disciplinary action.</w:t>
      </w:r>
    </w:p>
    <w:p>
      <w:pPr>
        <w:spacing w:before="0" w:after="0"/>
        <w:ind w:left="120"/>
        <w:jc w:val="both"/>
      </w:pPr>
      <w:r>
        <w:rPr>
          <w:rFonts w:ascii="Times New Roman" w:hAnsi="Times New Roman"/>
          <w:b/>
          <w:i w:val="false"/>
          <w:color w:val="000000"/>
          <w:sz w:val="22"/>
        </w:rPr>
        <w:t>283—5.24</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Upon request, the college student aid commission shall provide a copy of the whole or any portion of the record at cost. The cost of preparing a copy of the record or of transcribing the hearing record shall be paid by the requesting party.</w:t>
      </w:r>
    </w:p>
    <w:p>
      <w:pPr>
        <w:spacing w:before="0" w:after="0"/>
        <w:ind w:left="120"/>
        <w:jc w:val="both"/>
      </w:pPr>
      <w:r>
        <w:rPr>
          <w:rFonts w:ascii="Times New Roman" w:hAnsi="Times New Roman"/>
          <w:b w:val="false"/>
          <w:i w:val="false"/>
          <w:color w:val="000000"/>
          <w:sz w:val="22"/>
        </w:rPr>
        <w:t>Parties who request that a hearing be recorded by certified shorthand reporters rather than by electronic means shall bear the cost of that recordation, unless otherwise provided by law.</w:t>
      </w:r>
    </w:p>
    <w:p>
      <w:pPr>
        <w:spacing w:before="210" w:after="0"/>
        <w:ind w:left="120"/>
        <w:jc w:val="both"/>
      </w:pPr>
      <w:r>
        <w:rPr>
          <w:rFonts w:ascii="Times New Roman" w:hAnsi="Times New Roman"/>
          <w:b/>
          <w:i w:val="false"/>
          <w:color w:val="000000"/>
          <w:sz w:val="22"/>
        </w:rPr>
        <w:t>283—5.25</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commission may review an interlocutory order of the executive director. In determining whether to do so, the commission shall weigh the extent to which its granting the interlocutory appeal would expedite final resolution of the case and the extent to which review of that interlocutory order by the commission at the time it reviews the proposed decision of the presiding officer would provide an adequate remedy. Any request for interlocutory review must be filed within 14 days of issuance of the challenged order, but no later than the time for compliance with the order or the date of hearing, whichever is first.</w:t>
      </w:r>
    </w:p>
    <w:p>
      <w:pPr>
        <w:spacing w:before="0" w:after="0"/>
        <w:ind w:left="120"/>
        <w:jc w:val="both"/>
      </w:pPr>
      <w:r>
        <w:rPr>
          <w:rFonts w:ascii="Times New Roman" w:hAnsi="Times New Roman"/>
          <w:b/>
          <w:i w:val="false"/>
          <w:color w:val="000000"/>
          <w:sz w:val="22"/>
        </w:rPr>
        <w:t>283—5.26</w:t>
      </w:r>
      <w:r>
        <w:rPr>
          <w:rFonts w:ascii="Times New Roman" w:hAnsi="Times New Roman"/>
          <w:b/>
          <w:i w:val="false"/>
          <w:color w:val="000000"/>
          <w:sz w:val="22"/>
        </w:rPr>
        <w:t xml:space="preserve">(17A) </w:t>
      </w:r>
      <w:r>
        <w:rPr>
          <w:rFonts w:ascii="Times New Roman" w:hAnsi="Times New Roman"/>
          <w:b/>
          <w:i w:val="false"/>
          <w:color w:val="000000"/>
          <w:sz w:val="22"/>
        </w:rPr>
        <w:t xml:space="preserve">Final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5.26(1)</w:t>
      </w:r>
      <w:r>
        <w:rPr>
          <w:rFonts w:ascii="Times New Roman" w:hAnsi="Times New Roman"/>
          <w:b w:val="false"/>
          <w:i w:val="false"/>
          <w:color w:val="000000"/>
          <w:sz w:val="22"/>
        </w:rPr>
        <w:t> </w:t>
      </w:r>
      <w:r>
        <w:rPr>
          <w:rFonts w:ascii="Times New Roman" w:hAnsi="Times New Roman"/>
          <w:b w:val="false"/>
          <w:i w:val="false"/>
          <w:color w:val="000000"/>
          <w:sz w:val="22"/>
        </w:rPr>
        <w:t>When the commission presides over the reception of evidence at the hearing, its decision is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commission does not preside at the reception of evidence, the presiding officer shall make a proposed decision. The proposed decision becomes the final decision of the commission without further proceedings unless there is an appeal to, or review on motion of, the commission within the time provided in rule </w:t>
      </w:r>
      <w:hyperlink r:id="rId30">
        <w:r>
          <w:rPr>
            <w:rStyle w:val="Hyperlink"/>
            <w:rFonts w:ascii="Times New Roman" w:hAnsi="Times New Roman"/>
            <w:b w:val="false"/>
            <w:i w:val="false"/>
            <w:color w:val="000000"/>
            <w:sz w:val="22"/>
          </w:rPr>
          <w:t>283—5.27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i w:val="false"/>
          <w:color w:val="000000"/>
          <w:sz w:val="22"/>
        </w:rPr>
        <w:t>283—5.27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commission within 30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commission may initiate review of a proposed decision on its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college student aid commission. The notice of appeal must be signed by the appealing party or a representative of that party and contain a certificate of service. 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5.27(4)</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14 days of service of the notice of appeal. The commission may remand a case to the presiding officer for further hearing or may itself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college student aid commission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shall cite any applicable legal authority and specify relevant portions of the record in that proceeding. Written requests to present oral argument shall be filed with the briefs. The commission may resolve the appeal on the briefs or provide an opportunity for oral argument. The commission may shorten or extend the briefing period as appropriate.</w:t>
      </w:r>
    </w:p>
    <w:p>
      <w:pPr>
        <w:spacing w:before="0" w:after="0"/>
        <w:ind w:left="120"/>
        <w:jc w:val="both"/>
      </w:pPr>
      <w:r>
        <w:rPr>
          <w:rFonts w:ascii="Times New Roman" w:hAnsi="Times New Roman"/>
          <w:b/>
          <w:i w:val="false"/>
          <w:color w:val="000000"/>
          <w:sz w:val="22"/>
        </w:rPr>
        <w:t>283—5.28</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5.28(1)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5.28(2)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 xml:space="preserve">The application for rehearing shall state on whose behalf it is filed, the specific grounds for rehearing, and the relief sought. In addition, the application shall state whether the applicant desires reconsideration of all or part of the commission decision on the existing record and whether, on the basis of the grounds enumerated in subrule </w:t>
      </w:r>
      <w:hyperlink r:id="rId31">
        <w:r>
          <w:rPr>
            <w:rStyle w:val="Hyperlink"/>
            <w:rFonts w:ascii="Times New Roman" w:hAnsi="Times New Roman"/>
            <w:b w:val="false"/>
            <w:i w:val="false"/>
            <w:color w:val="000000"/>
            <w:sz w:val="22"/>
          </w:rPr>
          <w:t>5.27(4)</w:t>
        </w:r>
      </w:hyperlink>
      <w:r>
        <w:rPr>
          <w:rFonts w:ascii="Times New Roman" w:hAnsi="Times New Roman"/>
          <w:b w:val="false"/>
          <w:i w:val="false"/>
          <w:color w:val="000000"/>
          <w:sz w:val="22"/>
        </w:rPr>
        <w:t>,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5.28(3)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shall be filed with the college student aid commission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5.28(4)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mailed by the applicant to all parties of record not joining therein. If the application does not contain a certificate of service, the commission shall serve copies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5.28(5)</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a rehearing shall be deemed denied unless the commission grants the application within 20 days after its filing.</w:t>
      </w:r>
    </w:p>
    <w:p>
      <w:pPr>
        <w:spacing w:before="0" w:after="0"/>
        <w:ind w:left="120"/>
        <w:jc w:val="both"/>
      </w:pPr>
      <w:r>
        <w:rPr>
          <w:rFonts w:ascii="Times New Roman" w:hAnsi="Times New Roman"/>
          <w:b/>
          <w:i w:val="false"/>
          <w:color w:val="000000"/>
          <w:sz w:val="22"/>
        </w:rPr>
        <w:t>283—5.29</w:t>
      </w:r>
      <w:r>
        <w:rPr>
          <w:rFonts w:ascii="Times New Roman" w:hAnsi="Times New Roman"/>
          <w:b/>
          <w:i w:val="false"/>
          <w:color w:val="000000"/>
          <w:sz w:val="22"/>
        </w:rPr>
        <w:t xml:space="preserve">(17A) </w:t>
      </w:r>
      <w:r>
        <w:rPr>
          <w:rFonts w:ascii="Times New Roman" w:hAnsi="Times New Roman"/>
          <w:b/>
          <w:i w:val="false"/>
          <w:color w:val="000000"/>
          <w:sz w:val="22"/>
        </w:rPr>
        <w:t xml:space="preserve">Stays of commission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5.29(1)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college student aid commission for a stay of an order issued in that proceeding or for other temporary remedies, pending review by the commission. The petition shall be filed with the notice of appeal and shall state the reasons justifying a stay or other temporary remedy. The commission may rule on the stay or authorize the presiding officer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college student aid commission for a stay or other temporary remedies pending judicial review, of all or part of that proceeding. The petition shall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5.29(2)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presiding officer or commission shall consider the factors listed in Iowa Code section </w:t>
      </w:r>
      <w:hyperlink r:id="rId32">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(5c).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5.29(3)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college student aid commission or any other party.</w:t>
      </w:r>
    </w:p>
    <w:p>
      <w:pPr>
        <w:spacing w:before="210" w:after="0"/>
        <w:ind w:left="120"/>
        <w:jc w:val="both"/>
      </w:pPr>
      <w:r>
        <w:rPr>
          <w:rFonts w:ascii="Times New Roman" w:hAnsi="Times New Roman"/>
          <w:b/>
          <w:i w:val="false"/>
          <w:color w:val="000000"/>
          <w:sz w:val="22"/>
        </w:rPr>
        <w:t>283—5.30</w:t>
      </w:r>
      <w:r>
        <w:rPr>
          <w:rFonts w:ascii="Times New Roman" w:hAnsi="Times New Roman"/>
          <w:b/>
          <w:i w:val="false"/>
          <w:color w:val="000000"/>
          <w:sz w:val="22"/>
        </w:rPr>
        <w:t xml:space="preserve">(17A)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 If the parties cannot agree, any party may file and serve a motion for summary judgment pursuant to the rules governing such motions.</w:t>
      </w:r>
    </w:p>
    <w:p>
      <w:pPr>
        <w:spacing w:before="0" w:after="0"/>
        <w:ind w:left="120"/>
        <w:jc w:val="both"/>
      </w:pPr>
      <w:r>
        <w:rPr>
          <w:rFonts w:ascii="Times New Roman" w:hAnsi="Times New Roman"/>
          <w:b/>
          <w:i w:val="false"/>
          <w:color w:val="000000"/>
          <w:sz w:val="22"/>
        </w:rPr>
        <w:t>283—5.31</w:t>
      </w:r>
      <w:r>
        <w:rPr>
          <w:rFonts w:ascii="Times New Roman" w:hAnsi="Times New Roman"/>
          <w:b/>
          <w:i w:val="false"/>
          <w:color w:val="000000"/>
          <w:sz w:val="22"/>
        </w:rPr>
        <w:t xml:space="preserve">(17A)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commission may issue a written order in compliance with Iowa Code section </w:t>
      </w:r>
      <w:hyperlink r:id="rId33">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to suspend a license in whole or in part, order the cessation of any continuing activity, order affirmative action, or take other action within the jurisdiction of the commission by emergency adjudicative order. Before issuing an emergency adjudicative order, the commission shall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commission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which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commission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shall contain findings of fact, conclusions of law, and policy reasons to justify the determination of an immediate danger in the commission’s decision to take immediate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shall be immediately delivered to persons who are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Certified mail to the last address on file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First-class mail to the last address on file with the commission;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Fax. Fax may be used as the sole method of delivery if the person required to comply with the order has filed a written request that commission orders be sent by fax and has provided a fax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degree practicable, the commission shall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5.31(3)</w:t>
      </w:r>
      <w:r>
        <w:rPr>
          <w:rFonts w:ascii="Times New Roman" w:hAnsi="Times New Roman"/>
          <w:b w:val="false"/>
          <w:i w:val="false"/>
          <w:color w:val="000000"/>
          <w:sz w:val="22"/>
        </w:rPr>
        <w:t> </w:t>
      </w:r>
      <w:r>
        <w:rPr>
          <w:rFonts w:ascii="Times New Roman" w:hAnsi="Times New Roman"/>
          <w:b w:val="false"/>
          <w:i/>
          <w:color w:val="000000"/>
          <w:sz w:val="22"/>
        </w:rPr>
        <w:t xml:space="preserve">Oral notice. </w:t>
      </w:r>
      <w:r>
        <w:rPr>
          <w:rFonts w:ascii="Times New Roman" w:hAnsi="Times New Roman"/>
          <w:b w:val="false"/>
          <w:i w:val="false"/>
          <w:color w:val="000000"/>
          <w:sz w:val="22"/>
        </w:rPr>
        <w:t>Unless the written emergency adjudicative order is provided by personal delivery on the same day that the order issues, the commission shall make reasonable immediate efforts to contact by telephone the persons who are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5.31(4)</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After the issuance of an emergency adjudicative order, the commission shall proceed as quickly as feasible to complete any proceedings that would be required if the matter did not involve an immediate danger.</w:t>
      </w:r>
    </w:p>
    <w:p>
      <w:pPr>
        <w:spacing w:before="0" w:after="0"/>
        <w:ind w:left="120"/>
        <w:jc w:val="both"/>
      </w:pPr>
      <w:r>
        <w:rPr>
          <w:rFonts w:ascii="Times New Roman" w:hAnsi="Times New Roman"/>
          <w:b w:val="false"/>
          <w:i w:val="false"/>
          <w:color w:val="000000"/>
          <w:sz w:val="22"/>
        </w:rPr>
        <w:t>Issuance of a written emergency adjudicative order shall include notification of the date on which commission proceedings are scheduled for completion. After issuance of an emergency adjudicative order, continuance of further commission proceedings to a later date will be granted only in compelling circumstances upon application in writing.</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5/28/99, Notice 3/10/99—published 6/16/99, effective 7/21/99]</w:t>
      </w:r>
    </w:p>
    <w:p>
      <w:pPr>
        <w:spacing w:before="0" w:after="0"/>
        <w:ind w:left="120"/>
        <w:jc w:val="center"/>
      </w:pPr>
      <w:r>
        <w:rPr>
          <w:rFonts w:ascii="Times New Roman" w:hAnsi="Times New Roman"/>
          <w:b w:val="false"/>
          <w:i w:val="false"/>
          <w:color w:val="000000"/>
          <w:sz w:val="21"/>
        </w:rPr>
        <w:t>[Filed 9/24/03, Notice 6/11/03—published 10/15/03, effective 11/19/03]</w:t>
      </w:r>
    </w:p>
    <w:p>
      <w:pPr>
        <w:spacing w:before="0" w:after="0"/>
        <w:ind w:left="120"/>
        <w:jc w:val="center"/>
      </w:pPr>
      <w:r>
        <w:rPr>
          <w:rFonts w:ascii="Times New Roman" w:hAnsi="Times New Roman"/>
          <w:b w:val="false"/>
          <w:i w:val="false"/>
          <w:color w:val="000000"/>
          <w:sz w:val="21"/>
        </w:rPr>
        <w:t>[Filed ARC 1684C</w:t>
      </w:r>
      <w:r>
        <w:rPr>
          <w:rFonts w:ascii="Times New Roman" w:hAnsi="Times New Roman"/>
          <w:b w:val="false"/>
          <w:i w:val="false"/>
          <w:color w:val="000000"/>
          <w:sz w:val="21"/>
        </w:rPr>
        <w:t xml:space="preserve"> (Notice ARC 1579C, IAB 8/20/14)</w:t>
      </w:r>
      <w:r>
        <w:rPr>
          <w:rFonts w:ascii="Times New Roman" w:hAnsi="Times New Roman"/>
          <w:b w:val="false"/>
          <w:i w:val="false"/>
          <w:color w:val="000000"/>
          <w:sz w:val="21"/>
        </w:rPr>
        <w:t>, IAB 10/29/14, effective 12/3/14]</w:t>
      </w:r>
    </w:p>
    <w:p>
      <w:pPr>
        <w:spacing w:before="0" w:after="0"/>
        <w:ind w:left="120"/>
        <w:jc w:val="center"/>
      </w:pPr>
      <w:r>
        <w:rPr>
          <w:rFonts w:ascii="Times New Roman" w:hAnsi="Times New Roman"/>
          <w:b w:val="false"/>
          <w:i w:val="false"/>
          <w:color w:val="000000"/>
          <w:sz w:val="21"/>
        </w:rPr>
        <w:t>[Editorial change: IAC Supplement 2/10/21]</w:t>
      </w:r>
    </w:p>
    <w:p>
      <w:pPr>
        <w:spacing w:before="0" w:after="0"/>
        <w:ind w:left="120"/>
        <w:jc w:val="center"/>
      </w:pPr>
      <w:r>
        <w:rPr>
          <w:rFonts w:ascii="Times New Roman" w:hAnsi="Times New Roman"/>
          <w:b w:val="false"/>
          <w:i w:val="false"/>
          <w:color w:val="000000"/>
          <w:sz w:val="21"/>
        </w:rPr>
        <w:t>[Editorial change: IAC Supplement 4/3/24]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co/chapter/17A.10A.pdf" Type="http://schemas.openxmlformats.org/officeDocument/2006/relationships/hyperlink" Id="rId6"/>
    <Relationship TargetMode="External" Target="https://www.legis.iowa.gov/docs/ico/chapter/4.1.pdf" Type="http://schemas.openxmlformats.org/officeDocument/2006/relationships/hyperlink" Id="rId7"/>
    <Relationship TargetMode="External" Target="https://www.legis.iowa.gov/docs/ico/chapter/17A.11.pdf" Type="http://schemas.openxmlformats.org/officeDocument/2006/relationships/hyperlink" Id="rId8"/>
    <Relationship TargetMode="External" Target="https://www.legis.iowa.gov/docs/iac/rule/283.5.6.pdf" Type="http://schemas.openxmlformats.org/officeDocument/2006/relationships/hyperlink" Id="rId9"/>
    <Relationship TargetMode="External" Target="https://www.legis.iowa.gov/docs/ico/chapter/17A.17.pdf" Type="http://schemas.openxmlformats.org/officeDocument/2006/relationships/hyperlink" Id="rId10"/>
    <Relationship TargetMode="External" Target="https://www.legis.iowa.gov/docs/iac/rule/283.5.9.pdf" Type="http://schemas.openxmlformats.org/officeDocument/2006/relationships/hyperlink" Id="rId11"/>
    <Relationship TargetMode="External" Target="https://www.legis.iowa.gov/docs/iac/rule/283.5.23.pdf" Type="http://schemas.openxmlformats.org/officeDocument/2006/relationships/hyperlink" Id="rId12"/>
    <Relationship TargetMode="External" Target="https://www.legis.iowa.gov/docs/iac/rule/283.5.9.pdf" Type="http://schemas.openxmlformats.org/officeDocument/2006/relationships/hyperlink" Id="rId13"/>
    <Relationship TargetMode="External" Target="https://www.legis.iowa.gov/docs/ico/chapter/17A.17.pdf" Type="http://schemas.openxmlformats.org/officeDocument/2006/relationships/hyperlink" Id="rId14"/>
    <Relationship TargetMode="External" Target="https://www.legis.iowa.gov/docs/iac/rule/283.5.25.pdf" Type="http://schemas.openxmlformats.org/officeDocument/2006/relationships/hyperlink" Id="rId15"/>
    <Relationship TargetMode="External" Target="https://www.legis.iowa.gov/docs/iac/rule/283.5.29.pdf" Type="http://schemas.openxmlformats.org/officeDocument/2006/relationships/hyperlink" Id="rId16"/>
    <Relationship TargetMode="External" Target="https://www.legis.iowa.gov/docs/ico/chapter/17A.16.pdf" Type="http://schemas.openxmlformats.org/officeDocument/2006/relationships/hyperlink" Id="rId17"/>
    <Relationship TargetMode="External" Target="https://www.legis.iowa.gov/docs/iac/rule/283.5.13.pdf" Type="http://schemas.openxmlformats.org/officeDocument/2006/relationships/hyperlink" Id="rId18"/>
    <Relationship TargetMode="External" Target="https://www.legis.iowa.gov/docs/iac/rule/283.5.28.pdf" Type="http://schemas.openxmlformats.org/officeDocument/2006/relationships/hyperlink" Id="rId19"/>
    <Relationship TargetMode="External" Target="https://www.legis.iowa.gov/docs/iac/rule/283.5.27.pdf" Type="http://schemas.openxmlformats.org/officeDocument/2006/relationships/hyperlink" Id="rId20"/>
    <Relationship TargetMode="External" Target="https://www.legis.iowa.gov/docs/iac/rule/283.5.16.pdf" Type="http://schemas.openxmlformats.org/officeDocument/2006/relationships/hyperlink" Id="rId21"/>
    <Relationship TargetMode="External" Target="https://www.legis.iowa.gov/docs/iac/rule/283.5.27.pdf" Type="http://schemas.openxmlformats.org/officeDocument/2006/relationships/hyperlink" Id="rId22"/>
    <Relationship TargetMode="External" Target="https://www.legis.iowa.gov/docs/iac/rule/283.5.25.pdf" Type="http://schemas.openxmlformats.org/officeDocument/2006/relationships/hyperlink" Id="rId23"/>
    <Relationship TargetMode="External" Target="https://www.legis.iowa.gov/docs/iac/rule/283.5.29.pdf" Type="http://schemas.openxmlformats.org/officeDocument/2006/relationships/hyperlink" Id="rId24"/>
    <Relationship TargetMode="External" Target="https://www.legis.iowa.gov/docs/iac/rule/283.5.9.pdf" Type="http://schemas.openxmlformats.org/officeDocument/2006/relationships/hyperlink" Id="rId25"/>
    <Relationship TargetMode="External" Target="https://www.legis.iowa.gov/docs/iac/rule/283.5.12.pdf" Type="http://schemas.openxmlformats.org/officeDocument/2006/relationships/hyperlink" Id="rId26"/>
    <Relationship TargetMode="External" Target="https://www.legis.iowa.gov/docs/iac/rule/283.5.23.pdf" Type="http://schemas.openxmlformats.org/officeDocument/2006/relationships/hyperlink" Id="rId27"/>
    <Relationship TargetMode="External" Target="https://www.legis.iowa.gov/docs/iac/rule/283.5.17.pdf" Type="http://schemas.openxmlformats.org/officeDocument/2006/relationships/hyperlink" Id="rId28"/>
    <Relationship TargetMode="External" Target="https://www.legis.iowa.gov/docs/ico/chapter/17A.13.pdf" Type="http://schemas.openxmlformats.org/officeDocument/2006/relationships/hyperlink" Id="rId29"/>
    <Relationship TargetMode="External" Target="https://www.legis.iowa.gov/docs/iac/rule/283.5.27.pdf" Type="http://schemas.openxmlformats.org/officeDocument/2006/relationships/hyperlink" Id="rId30"/>
    <Relationship TargetMode="External" Target="https://www.legis.iowa.gov/docs/iac/rule/283.5.27.pdf" Type="http://schemas.openxmlformats.org/officeDocument/2006/relationships/hyperlink" Id="rId31"/>
    <Relationship TargetMode="External" Target="https://www.legis.iowa.gov/docs/ico/chapter/17A.19.pdf" Type="http://schemas.openxmlformats.org/officeDocument/2006/relationships/hyperlink" Id="rId32"/>
    <Relationship TargetMode="External" Target="https://www.legis.iowa.gov/docs/ico/chapter/17A.18.pdf" Type="http://schemas.openxmlformats.org/officeDocument/2006/relationships/hyperlink" Id="rId33"/>
    <Relationship TargetMode="External" Target="https://www.legis.iowa.gov/docs/ico/chapter/17A.pdf" Type="http://schemas.openxmlformats.org/officeDocument/2006/relationships/hyperlink"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