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STUDENT LOAN DEBT COLLECTION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283—37.1</w:t>
      </w:r>
      <w:r>
        <w:rPr>
          <w:rFonts w:ascii="Times New Roman" w:hAnsi="Times New Roman"/>
          <w:b/>
          <w:i w:val="false"/>
          <w:color w:val="000000"/>
          <w:sz w:val="22"/>
        </w:rPr>
        <w:t xml:space="preserve">(261) </w:t>
      </w:r>
      <w:r>
        <w:rPr>
          <w:rFonts w:ascii="Times New Roman" w:hAnsi="Times New Roman"/>
          <w:b/>
          <w:i w:val="false"/>
          <w:color w:val="000000"/>
          <w:sz w:val="22"/>
        </w:rPr>
        <w:t xml:space="preserve">General purpose. </w:t>
      </w:r>
      <w:r>
        <w:rPr>
          <w:rFonts w:ascii="Times New Roman" w:hAnsi="Times New Roman"/>
          <w:b w:val="false"/>
          <w:i w:val="false"/>
          <w:color w:val="000000"/>
          <w:sz w:val="22"/>
        </w:rPr>
        <w:t xml:space="preserve">In collection of defaulted student loans, the commission may apply administrative wage garnishment and state tax offset procedures established under Iowa Code chapter </w:t>
      </w:r>
      <w:hyperlink r:id="rId5">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specifically including private partnership loans authorized for collection under Iowa Code section </w:t>
      </w:r>
      <w:hyperlink r:id="rId6">
        <w:r>
          <w:rPr>
            <w:rStyle w:val="Hyperlink"/>
            <w:rFonts w:ascii="Times New Roman" w:hAnsi="Times New Roman"/>
            <w:b w:val="false"/>
            <w:i w:val="false"/>
            <w:color w:val="000000"/>
            <w:sz w:val="22"/>
          </w:rPr>
          <w:t>261.38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4719C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283—37.2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w:t>
      </w:r>
      <w:r>
        <w:rPr>
          <w:rFonts w:ascii="Times New Roman" w:hAnsi="Times New Roman"/>
          <w:b w:val="false"/>
          <w:i w:val="false"/>
          <w:color w:val="000000"/>
          <w:sz w:val="22"/>
        </w:rPr>
        <w:t> </w:t>
      </w:r>
      <w:r>
        <w:rPr>
          <w:rFonts w:ascii="Times New Roman" w:hAnsi="Times New Roman"/>
          <w:b w:val="false"/>
          <w:i w:val="false"/>
          <w:color w:val="000000"/>
          <w:sz w:val="22"/>
        </w:rPr>
        <w:t>A “debtor” is a person who has defaulted on any obligation owed to or collected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w:t>
      </w:r>
      <w:r>
        <w:rPr>
          <w:rFonts w:ascii="Times New Roman" w:hAnsi="Times New Roman"/>
          <w:b w:val="false"/>
          <w:i w:val="false"/>
          <w:color w:val="000000"/>
          <w:sz w:val="22"/>
        </w:rPr>
        <w:t> </w:t>
      </w:r>
      <w:r>
        <w:rPr>
          <w:rFonts w:ascii="Times New Roman" w:hAnsi="Times New Roman"/>
          <w:b w:val="false"/>
          <w:i w:val="false"/>
          <w:color w:val="000000"/>
          <w:sz w:val="22"/>
        </w:rPr>
        <w:t>A debtor is in “default”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debtor is obligated to pay under a federal student loan guaranteed by the commission pursuant to the provisions of Iowa Code sections </w:t>
      </w:r>
      <w:hyperlink r:id="rId7">
        <w:r>
          <w:rPr>
            <w:rStyle w:val="Hyperlink"/>
            <w:rFonts w:ascii="Times New Roman" w:hAnsi="Times New Roman"/>
            <w:b w:val="false"/>
            <w:i w:val="false"/>
            <w:color w:val="000000"/>
            <w:sz w:val="22"/>
          </w:rPr>
          <w:t>261.35 to 261.43</w:t>
        </w:r>
      </w:hyperlink>
      <w:r>
        <w:rPr>
          <w:rFonts w:ascii="Times New Roman" w:hAnsi="Times New Roman"/>
          <w:b w:val="false"/>
          <w:i w:val="false"/>
          <w:color w:val="000000"/>
          <w:sz w:val="22"/>
        </w:rPr>
        <w:t>, and the debtor’s defaulted loan has been purchased by the commission from an eligible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debtor is obligated to pay under a partnership student loan issued by Iowa Student Loan Liquidity Corporation (ISLLC), and the commission acquires the debtor’s loan as a default pursuant to Iowa Code section </w:t>
      </w:r>
      <w:hyperlink r:id="rId8">
        <w:r>
          <w:rPr>
            <w:rStyle w:val="Hyperlink"/>
            <w:rFonts w:ascii="Times New Roman" w:hAnsi="Times New Roman"/>
            <w:b w:val="false"/>
            <w:i w:val="false"/>
            <w:color w:val="000000"/>
            <w:sz w:val="22"/>
          </w:rPr>
          <w:t>261.38</w:t>
        </w:r>
      </w:hyperlink>
      <w:r>
        <w:rPr>
          <w:rFonts w:ascii="Times New Roman" w:hAnsi="Times New Roman"/>
          <w:b w:val="false"/>
          <w:i w:val="false"/>
          <w:color w:val="000000"/>
          <w:sz w:val="22"/>
        </w:rPr>
        <w:t xml:space="preserve"> due to the debtor’s failure to make payments to ISLLC;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debtor becomes obligated to repay the commission under any forgivable loan program administered by the commission, and fails to make an agreed payment within 20 days of the agreed due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debtor enters into a written repayment agreement with the commission and fails to make an agreed payment within 20 days of the due date stated in the repayment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w:t>
      </w:r>
      <w:r>
        <w:rPr>
          <w:rFonts w:ascii="Times New Roman" w:hAnsi="Times New Roman"/>
          <w:b w:val="false"/>
          <w:i w:val="false"/>
          <w:color w:val="000000"/>
          <w:sz w:val="22"/>
        </w:rPr>
        <w:t> </w:t>
      </w:r>
      <w:r>
        <w:rPr>
          <w:rFonts w:ascii="Times New Roman" w:hAnsi="Times New Roman"/>
          <w:b w:val="false"/>
          <w:i w:val="false"/>
          <w:color w:val="000000"/>
          <w:sz w:val="22"/>
        </w:rPr>
        <w:t>The phrase “defaulted obligation owed” means the total amount of the debtor’s obligation, including principal and unpaid accrued interest, and may include collection costs and other allowable fees.</w:t>
      </w:r>
    </w:p>
    <w:p>
      <w:pPr>
        <w:spacing w:before="210" w:after="0"/>
        <w:ind w:left="120"/>
        <w:jc w:val="both"/>
      </w:pPr>
      <w:r>
        <w:rPr>
          <w:rFonts w:ascii="Times New Roman" w:hAnsi="Times New Roman"/>
          <w:b/>
          <w:i w:val="false"/>
          <w:color w:val="000000"/>
          <w:sz w:val="22"/>
        </w:rPr>
        <w:t>283—37.3</w:t>
      </w:r>
      <w:r>
        <w:rPr>
          <w:rFonts w:ascii="Times New Roman" w:hAnsi="Times New Roman"/>
          <w:b/>
          <w:i w:val="false"/>
          <w:color w:val="000000"/>
          <w:sz w:val="22"/>
        </w:rPr>
        <w:t xml:space="preserve">(261) </w:t>
      </w:r>
      <w:r>
        <w:rPr>
          <w:rFonts w:ascii="Times New Roman" w:hAnsi="Times New Roman"/>
          <w:b/>
          <w:i w:val="false"/>
          <w:color w:val="000000"/>
          <w:sz w:val="22"/>
        </w:rPr>
        <w:t xml:space="preserve">License sanction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4719C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10/23/19</w:t>
      </w:r>
      <w:r>
        <w:rPr>
          <w:rFonts w:ascii="Times New Roman" w:hAnsi="Times New Roman"/>
          <w:b w:val="false"/>
          <w:i w:val="false"/>
          <w:color w:val="000000"/>
          <w:sz w:val="22"/>
        </w:rPr>
        <w:t xml:space="preserve">, effective 11/27/19. </w:t>
      </w:r>
    </w:p>
    <w:p>
      <w:pPr>
        <w:spacing w:before="0" w:after="0"/>
        <w:ind w:left="120"/>
        <w:jc w:val="both"/>
      </w:pPr>
      <w:r>
        <w:rPr>
          <w:rFonts w:ascii="Times New Roman" w:hAnsi="Times New Roman"/>
          <w:b/>
          <w:i w:val="false"/>
          <w:color w:val="000000"/>
          <w:sz w:val="22"/>
        </w:rPr>
        <w:t>283—37.4</w:t>
      </w:r>
      <w:r>
        <w:rPr>
          <w:rFonts w:ascii="Times New Roman" w:hAnsi="Times New Roman"/>
          <w:b/>
          <w:i w:val="false"/>
          <w:color w:val="000000"/>
          <w:sz w:val="22"/>
        </w:rPr>
        <w:t xml:space="preserve">(261) </w:t>
      </w:r>
      <w:r>
        <w:rPr>
          <w:rFonts w:ascii="Times New Roman" w:hAnsi="Times New Roman"/>
          <w:b/>
          <w:i w:val="false"/>
          <w:color w:val="000000"/>
          <w:sz w:val="22"/>
        </w:rPr>
        <w:t xml:space="preserve">Administrative wage garnishment procedures. </w:t>
      </w:r>
      <w:r>
        <w:rPr>
          <w:rFonts w:ascii="Times New Roman" w:hAnsi="Times New Roman"/>
          <w:b w:val="false"/>
          <w:i w:val="false"/>
          <w:color w:val="000000"/>
          <w:sz w:val="22"/>
        </w:rPr>
        <w:t>The commission shall apply administrative wage garnishment procedures established under the federal Higher Education Act of 1965, as amended and codified in 20 U.S.C. § 1071 et seq., in the collection of all defaulted student loans owed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color w:val="000000"/>
          <w:sz w:val="22"/>
        </w:rPr>
        <w:t xml:space="preserve">Notice prior to wage withholding. </w:t>
      </w:r>
      <w:r>
        <w:rPr>
          <w:rFonts w:ascii="Times New Roman" w:hAnsi="Times New Roman"/>
          <w:b w:val="false"/>
          <w:i w:val="false"/>
          <w:color w:val="000000"/>
          <w:sz w:val="22"/>
        </w:rPr>
        <w:t>A debtor shall receive a “notice prior to wage withholding” from the commission inviting the debtor to enter into voluntary monthly payments with the commission within 30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color w:val="000000"/>
          <w:sz w:val="22"/>
        </w:rPr>
        <w:t xml:space="preserve">Right to hearing. </w:t>
      </w:r>
      <w:r>
        <w:rPr>
          <w:rFonts w:ascii="Times New Roman" w:hAnsi="Times New Roman"/>
          <w:b w:val="false"/>
          <w:i w:val="false"/>
          <w:color w:val="000000"/>
          <w:sz w:val="22"/>
        </w:rPr>
        <w:t>A debtor is entitled to a hearing before an administrative law judge if a petition is filed requesting a hearing on or before the fifteenth day following mailing of the “notice prior to wage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color w:val="000000"/>
          <w:sz w:val="22"/>
        </w:rPr>
        <w:t xml:space="preserve">Repayment agreement. </w:t>
      </w:r>
      <w:r>
        <w:rPr>
          <w:rFonts w:ascii="Times New Roman" w:hAnsi="Times New Roman"/>
          <w:b w:val="false"/>
          <w:i w:val="false"/>
          <w:color w:val="000000"/>
          <w:sz w:val="22"/>
        </w:rPr>
        <w:t>A debtor who negotiates a monthly payment with the commission shall receive a “repayment agreement in lieu of wage withholding” reflecting the payment amount and payment date agreed upon (20-day grace period) for the debtor’s signature and return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color w:val="000000"/>
          <w:sz w:val="22"/>
        </w:rPr>
        <w:t xml:space="preserve">Debtor’s failure to arrange timely voluntary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of a debtor who is financially capable of paying, but who fails to make voluntary payments after receiving a “notice prior to wage withholding” from the commission, or who signs a “repayment agreement in lieu of wage withholding” but subsequently fails to make regular monthly payments, shall receive an “order of withholding from earnings” from the commission, directing the debtor’s employer to deduct and pay to the commission from the debtor’s wages an amount that does not exceed the amount authorized by federal legislation, unless the debtor provides the commission with written consent to deduct a greater amount. A duplicate copy of the order shall be provided to the debtor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also shall receive from the commission an “employer acknowledgment of wage withholding” which should be completed and returned to the commission within ten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shall notify the commission if the debtor changes employment. The employer shall provide the debtor’s date of termination, last-known address, and current employer and telephone number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will send the employer a “release of order of withholding from earnings” when the debtor’s loan being collected by the commission is paid in full.</w:t>
      </w:r>
    </w:p>
    <w:p>
      <w:pPr>
        <w:spacing w:before="0" w:after="0"/>
        <w:ind w:left="120"/>
        <w:jc w:val="both"/>
      </w:pPr>
      <w:r>
        <w:rPr>
          <w:rFonts w:ascii="Times New Roman" w:hAnsi="Times New Roman"/>
          <w:b/>
          <w:i w:val="false"/>
          <w:color w:val="000000"/>
          <w:sz w:val="22"/>
        </w:rPr>
        <w:t>283—37.5</w:t>
      </w:r>
      <w:r>
        <w:rPr>
          <w:rFonts w:ascii="Times New Roman" w:hAnsi="Times New Roman"/>
          <w:b/>
          <w:i w:val="false"/>
          <w:color w:val="000000"/>
          <w:sz w:val="22"/>
        </w:rPr>
        <w:t xml:space="preserve">(261) </w:t>
      </w:r>
      <w:r>
        <w:rPr>
          <w:rFonts w:ascii="Times New Roman" w:hAnsi="Times New Roman"/>
          <w:b/>
          <w:i w:val="false"/>
          <w:color w:val="000000"/>
          <w:sz w:val="22"/>
        </w:rPr>
        <w:t xml:space="preserve">Offset against state income tax refund or rebate.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claim against a defaulted borrower’s state income tax refund or rebate will be made to receive payment against any defaulted student loan owed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commission shall submit to the department of revenue a list of defaulted borrowers to certify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Borrower notification. </w:t>
      </w:r>
      <w:r>
        <w:rPr>
          <w:rFonts w:ascii="Times New Roman" w:hAnsi="Times New Roman"/>
          <w:b w:val="false"/>
          <w:i w:val="false"/>
          <w:color w:val="000000"/>
          <w:sz w:val="22"/>
        </w:rPr>
        <w:t>The commission shall mail a preoffset notice to a defaulted borrower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is notified by the department of revenue that the defaulted borrower is entitled to a state income tax refund or rebate;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makes claim to the defaulted borrower’s state income tax refund or rebate.</w:t>
      </w:r>
    </w:p>
    <w:p>
      <w:pPr>
        <w:spacing w:before="0" w:after="0"/>
        <w:ind w:left="120"/>
        <w:jc w:val="both"/>
      </w:pPr>
      <w:r>
        <w:rPr>
          <w:rFonts w:ascii="Times New Roman" w:hAnsi="Times New Roman"/>
          <w:b w:val="false"/>
          <w:i w:val="false"/>
          <w:color w:val="000000"/>
          <w:sz w:val="22"/>
        </w:rPr>
        <w:t>The preoffset notice will inform the defaulted borrower of the amount the commission intends to claim and apply to the outstanding defaulted student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37.5(4)</w:t>
      </w:r>
      <w:r>
        <w:rPr>
          <w:rFonts w:ascii="Times New Roman" w:hAnsi="Times New Roman"/>
          <w:b w:val="false"/>
          <w:i w:val="false"/>
          <w:color w:val="000000"/>
          <w:sz w:val="22"/>
        </w:rPr>
        <w:t> </w:t>
      </w:r>
      <w:r>
        <w:rPr>
          <w:rFonts w:ascii="Times New Roman" w:hAnsi="Times New Roman"/>
          <w:b w:val="false"/>
          <w:i/>
          <w:color w:val="000000"/>
          <w:sz w:val="22"/>
        </w:rPr>
        <w:t xml:space="preserve">Challenge of offset. </w:t>
      </w:r>
      <w:r>
        <w:rPr>
          <w:rFonts w:ascii="Times New Roman" w:hAnsi="Times New Roman"/>
          <w:b w:val="false"/>
          <w:i w:val="false"/>
          <w:color w:val="000000"/>
          <w:sz w:val="22"/>
        </w:rPr>
        <w:t>When the defaulted borrower contests a claim, a written request shall be submitted to the commission within 15 calendar days after the preoffset notice is mailed. When the request is received within the 15-day limit, a hearing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w:t>
      </w:r>
      <w:r>
        <w:rPr>
          <w:rFonts w:ascii="Times New Roman" w:hAnsi="Times New Roman"/>
          <w:b w:val="false"/>
          <w:i w:val="false"/>
          <w:color w:val="000000"/>
          <w:sz w:val="22"/>
        </w:rPr>
        <w:t> </w:t>
      </w:r>
      <w:r>
        <w:rPr>
          <w:rFonts w:ascii="Times New Roman" w:hAnsi="Times New Roman"/>
          <w:b w:val="false"/>
          <w:i/>
          <w:color w:val="000000"/>
          <w:sz w:val="22"/>
        </w:rPr>
        <w:t xml:space="preserve">Spousal share. </w:t>
      </w:r>
      <w:r>
        <w:rPr>
          <w:rFonts w:ascii="Times New Roman" w:hAnsi="Times New Roman"/>
          <w:b w:val="false"/>
          <w:i w:val="false"/>
          <w:color w:val="000000"/>
          <w:sz w:val="22"/>
        </w:rPr>
        <w:t>The spouse’s proportionate share of a joint return filed with a defaulted borrower, as determined by the department of revenue, shall be released by the department of revenue unless other claims are made on that portion of the joint income tax refund. The request for release of the spouse’s proportionate share shall be in writing and received by the commission within 15 calendar days after the mailing date of the preoffset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37.5(6)</w:t>
      </w:r>
      <w:r>
        <w:rPr>
          <w:rFonts w:ascii="Times New Roman" w:hAnsi="Times New Roman"/>
          <w:b w:val="false"/>
          <w:i w:val="false"/>
          <w:color w:val="000000"/>
          <w:sz w:val="22"/>
        </w:rPr>
        <w:t> </w:t>
      </w:r>
      <w:r>
        <w:rPr>
          <w:rFonts w:ascii="Times New Roman" w:hAnsi="Times New Roman"/>
          <w:b w:val="false"/>
          <w:i/>
          <w:color w:val="000000"/>
          <w:sz w:val="22"/>
        </w:rPr>
        <w:t xml:space="preserve">Claim of offset. </w:t>
      </w:r>
      <w:r>
        <w:rPr>
          <w:rFonts w:ascii="Times New Roman" w:hAnsi="Times New Roman"/>
          <w:b w:val="false"/>
          <w:i w:val="false"/>
          <w:color w:val="000000"/>
          <w:sz w:val="22"/>
        </w:rPr>
        <w:t>The commission may make claim to a defaulted borrower’s state income tax refund or rebate when the defaulted borrower has not made a voluntary payment which has been posted to the borrower’s account during the 120 days preceding the day an offset tape match is run. A voluntary payment toward a defaulted loan is defined as making an agreed-upon monthly payment through a means other than by offset or garnishment.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Borrowers with defaulted student loans may appeal commission decisions to offset their state tax refunds or rebates pursuant to the procedures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If a defaulted borrower contests a claim, written appeal shall be presented to the commission’s state offset coordinator, setting forth reasons for disagreement. The evidence must be presented within 15 calendar days after notification of the proposed offset, and the appellant may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hearing is requested, the state offset coordinator will consider all evidence provided and will notify the appellant within 30 calendar days whether the decision is retracted, modified, or upheld. The appellant will be advised of the appellant’s right to carry the appeal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hearing is requested, the state offset coordinator will set a date for the hearing no later than 30 calendar days from the date that the request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preside at the hearing and will consider any written material presented before the hearing as well as other evidence presented during the course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considering all evidence presented, the administrative law judge will notify the appellant in writing as to the decision on the appeal, advising the appellant of the appellant’s right to carry the appeal to a full meeting of the commission or to its appointed appeals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provisions. </w:t>
      </w:r>
      <w:r>
        <w:rPr>
          <w:rFonts w:ascii="Times New Roman" w:hAnsi="Times New Roman"/>
          <w:b w:val="false"/>
          <w:i w:val="false"/>
          <w:color w:val="000000"/>
          <w:sz w:val="22"/>
        </w:rPr>
        <w:t xml:space="preserve">Except as specifically provided in this rule, administrative hearings will be governed by </w:t>
      </w:r>
      <w:hyperlink r:id="rId9">
        <w:r>
          <w:rPr>
            <w:rStyle w:val="Hyperlink"/>
            <w:rFonts w:ascii="Times New Roman" w:hAnsi="Times New Roman"/>
            <w:b w:val="false"/>
            <w:i w:val="false"/>
            <w:color w:val="000000"/>
            <w:sz w:val="22"/>
          </w:rPr>
          <w:t>283—Chapter 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261.37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261.38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8/30/02, Notice 5/29/02—published 9/18/02, effective 10/23/02]</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emergency 6/16/06—published 7/5/06, effective 6/16/06]</w:t>
      </w:r>
    </w:p>
    <w:p>
      <w:pPr>
        <w:spacing w:before="0" w:after="0"/>
        <w:ind w:left="120"/>
        <w:jc w:val="center"/>
      </w:pPr>
      <w:r>
        <w:rPr>
          <w:rFonts w:ascii="Times New Roman" w:hAnsi="Times New Roman"/>
          <w:b w:val="false"/>
          <w:i w:val="false"/>
          <w:color w:val="000000"/>
          <w:sz w:val="21"/>
        </w:rPr>
        <w:t>[Filed 9/25/06, Notice 7/5/06—published 10/25/06, effective 11/29/06]</w:t>
      </w:r>
    </w:p>
    <w:p>
      <w:pPr>
        <w:spacing w:before="0" w:after="0"/>
        <w:ind w:left="120"/>
        <w:jc w:val="center"/>
      </w:pPr>
      <w:r>
        <w:rPr>
          <w:rFonts w:ascii="Times New Roman" w:hAnsi="Times New Roman"/>
          <w:b w:val="false"/>
          <w:i w:val="false"/>
          <w:color w:val="000000"/>
          <w:sz w:val="21"/>
        </w:rPr>
        <w:t>[Filed ARC 4719C</w:t>
      </w:r>
      <w:r>
        <w:rPr>
          <w:rFonts w:ascii="Times New Roman" w:hAnsi="Times New Roman"/>
          <w:b w:val="false"/>
          <w:i w:val="false"/>
          <w:color w:val="000000"/>
          <w:sz w:val="21"/>
        </w:rPr>
        <w:t xml:space="preserve"> (Notice ARC 4596C, IAB 8/14/19)</w:t>
      </w:r>
      <w:r>
        <w:rPr>
          <w:rFonts w:ascii="Times New Roman" w:hAnsi="Times New Roman"/>
          <w:b w:val="false"/>
          <w:i w:val="false"/>
          <w:color w:val="000000"/>
          <w:sz w:val="21"/>
        </w:rPr>
        <w:t>, IAB 10/23/19, effective 11/27/19]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pdf" Type="http://schemas.openxmlformats.org/officeDocument/2006/relationships/hyperlink" Id="rId5"/>
    <Relationship TargetMode="External" Target="https://www.legis.iowa.gov/docs/ico/chapter/261.38.pdf" Type="http://schemas.openxmlformats.org/officeDocument/2006/relationships/hyperlink" Id="rId6"/>
    <Relationship TargetMode="External" Target="https://www.legis.iowa.gov/docs/ico/chapter/261.35-43.pdf" Type="http://schemas.openxmlformats.org/officeDocument/2006/relationships/hyperlink" Id="rId7"/>
    <Relationship TargetMode="External" Target="https://www.legis.iowa.gov/docs/ico/chapter/261.38.pdf" Type="http://schemas.openxmlformats.org/officeDocument/2006/relationships/hyperlink" Id="rId8"/>
    <Relationship TargetMode="External" Target="https://www.legis.iowa.gov/docs/iac/chapter/283.4.pdf" Type="http://schemas.openxmlformats.org/officeDocument/2006/relationships/hyperlink" Id="rId9"/>
    <Relationship TargetMode="External" Target="https://www.legis.iowa.gov/docs/ico/chapter/261.37.pdf" Type="http://schemas.openxmlformats.org/officeDocument/2006/relationships/hyperlink" Id="rId10"/>
    <Relationship TargetMode="External" Target="https://www.legis.iowa.gov/docs/ico/chapter/261.38.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