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GOVERNOR TERRY E. BRANSTAD</w:t>
      </w:r>
      <w:r>
        <w:br/>
      </w:r>
      <w:r>
        <w:rPr>
          <w:rFonts w:ascii="Times New Roman" w:hAnsi="Times New Roman"/>
          <w:b w:val="false"/>
          <w:i w:val="false"/>
          <w:color w:val="000000"/>
          <w:sz w:val="21"/>
        </w:rPr>
        <w:t>IOWA STATE FAIR SCHOLARSHIP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283—36.1</w:t>
      </w:r>
      <w:r>
        <w:rPr>
          <w:rFonts w:ascii="Times New Roman" w:hAnsi="Times New Roman"/>
          <w:b/>
          <w:i w:val="false"/>
          <w:color w:val="000000"/>
          <w:sz w:val="22"/>
        </w:rPr>
        <w:t xml:space="preserve">(77GA,ch1215) </w:t>
      </w:r>
      <w:r>
        <w:rPr>
          <w:rFonts w:ascii="Times New Roman" w:hAnsi="Times New Roman"/>
          <w:b/>
          <w:i w:val="false"/>
          <w:color w:val="000000"/>
          <w:sz w:val="22"/>
        </w:rPr>
        <w:t xml:space="preserve">Governor Terry E. Branstad Iowa state fair scholarship program. </w:t>
      </w:r>
      <w:r>
        <w:rPr>
          <w:rFonts w:ascii="Times New Roman" w:hAnsi="Times New Roman"/>
          <w:b w:val="false"/>
          <w:i w:val="false"/>
          <w:color w:val="000000"/>
          <w:sz w:val="22"/>
        </w:rPr>
        <w:t>The Governor Terry E. Branstad Iowa state fair scholarship program is a privately funded scholarship program for Iowa residents who actively participate in the Iowa state fair and enroll as undergraduate students in eligible Iowa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institution of higher learning located in Iowa under the control of the state board of regents, a North Central Association of Colleges and Schools (NCA) accredited independent institution as defined in Iowa Code section </w:t>
      </w:r>
      <w:hyperlink r:id="rId5">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 or a state-supported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student” </w:t>
      </w:r>
      <w:r>
        <w:rPr>
          <w:rFonts w:ascii="Times New Roman" w:hAnsi="Times New Roman"/>
          <w:b w:val="false"/>
          <w:i w:val="false"/>
          <w:color w:val="000000"/>
          <w:sz w:val="22"/>
        </w:rPr>
        <w:t xml:space="preserve">means an individual who meets the criteria established in </w:t>
      </w:r>
      <w:hyperlink r:id="rId6">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“Located in Iowa” </w:t>
      </w:r>
      <w:r>
        <w:rPr>
          <w:rFonts w:ascii="Times New Roman" w:hAnsi="Times New Roman"/>
          <w:b w:val="false"/>
          <w:i w:val="false"/>
          <w:color w:val="000000"/>
          <w:sz w:val="22"/>
        </w:rPr>
        <w:t>means a college or university accredited by the Higher Learning Commission of the North Central Association of Colleges and Schools, that has made a substantial investment in a permanent Iowa campus and staff, and that offers a full range of courses leading to the degrees offered by the institution as well as a full range of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scholarship.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be an Iowa resident who has graduated from an accredited secondary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assistance under this program must enroll at an eligible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release grade point average and need analysis information to the commission on forms specified by the commission, by the deadline date determined by the commission. In addition, each applicant must provide the following information, as stated in the application instructions: essay, description of state fair participation, description of school and community activities, and description of community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w:t>
      </w:r>
      <w:r>
        <w:rPr>
          <w:rFonts w:ascii="Times New Roman" w:hAnsi="Times New Roman"/>
          <w:b w:val="false"/>
          <w:i w:val="false"/>
          <w:color w:val="000000"/>
          <w:sz w:val="22"/>
        </w:rPr>
        <w:t> </w:t>
      </w:r>
      <w:r>
        <w:rPr>
          <w:rFonts w:ascii="Times New Roman" w:hAnsi="Times New Roman"/>
          <w:b w:val="false"/>
          <w:i/>
          <w:color w:val="000000"/>
          <w:sz w:val="22"/>
        </w:rPr>
        <w:t xml:space="preserve">Selection. </w:t>
      </w:r>
      <w:r>
        <w:rPr>
          <w:rFonts w:ascii="Times New Roman" w:hAnsi="Times New Roman"/>
          <w:b w:val="false"/>
          <w:i w:val="false"/>
          <w:color w:val="000000"/>
          <w:sz w:val="22"/>
        </w:rPr>
        <w:t>A panel of judges representing the following agencies will choose recipients: governor’s staff, the Iowa state fair board, the Iowa department of education, the Iowa department of agriculture and land stewardship, and the Iowa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36.1(4)</w:t>
      </w:r>
      <w:r>
        <w:rPr>
          <w:rFonts w:ascii="Times New Roman" w:hAnsi="Times New Roman"/>
          <w:b w:val="false"/>
          <w:i w:val="false"/>
          <w:color w:val="000000"/>
          <w:sz w:val="22"/>
        </w:rPr>
        <w:t> </w:t>
      </w:r>
      <w:r>
        <w:rPr>
          <w:rFonts w:ascii="Times New Roman" w:hAnsi="Times New Roman"/>
          <w:b w:val="false"/>
          <w:i/>
          <w:color w:val="000000"/>
          <w:sz w:val="22"/>
        </w:rPr>
        <w:t xml:space="preserve">Monetary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 to ten awards, not to exceed $5,000 per award, will be awarded annually. No student shall receive more than the student’s established financial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scholarship of up to $5,000 will be awarded each year to the Iowa state fair queen.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Governor Terry E. Branstad Iowa state fair scholarship fund will be established in the office of the state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36.1(5)</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An applicant who is in default on a Stafford Loan, SLS Loan, Perkins/National Direct/National Defense Student Loan, Health Professions Student Loan (HPSL), or Health Education Assistance Loan (HEAL) or who owes a repayment on any Title IV grant assistance or state award shall be ineligible for this scholarship. Eligibility for state aid may be reinstated upon payment in full of the delinquent obligation or by commission ruling on the basis of adequate extenuating evidence presented in appeal under the procedures set forth in </w:t>
      </w:r>
      <w:hyperlink r:id="rId7">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261.24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0246C</w:t>
      </w:r>
      <w:r>
        <w:rPr>
          <w:rFonts w:ascii="Times New Roman" w:hAnsi="Times New Roman"/>
          <w:b w:val="false"/>
          <w:i w:val="false"/>
          <w:color w:val="000000"/>
          <w:sz w:val="16"/>
        </w:rPr>
        <w:t>, IAB 8/8/12, effective 7/13/12</w:t>
      </w:r>
      <w:r>
        <w:rPr>
          <w:rFonts w:ascii="Times New Roman" w:hAnsi="Times New Roman"/>
          <w:b w:val="false"/>
          <w:i w:val="false"/>
          <w:color w:val="000000"/>
          <w:sz w:val="16"/>
        </w:rPr>
        <w:t xml:space="preserve">; </w:t>
      </w:r>
      <w:r>
        <w:rPr>
          <w:rFonts w:ascii="Times New Roman" w:hAnsi="Times New Roman"/>
          <w:b/>
          <w:i w:val="false"/>
          <w:color w:val="000000"/>
          <w:sz w:val="16"/>
        </w:rPr>
        <w:t>ARC 0945C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2208C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2581C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11/25/98, Notice 8/26/98—published 12/16/98, effective 1/20/99]</w:t>
      </w:r>
    </w:p>
    <w:p>
      <w:pPr>
        <w:spacing w:before="0" w:after="0"/>
        <w:ind w:left="120"/>
        <w:jc w:val="center"/>
      </w:pPr>
      <w:r>
        <w:rPr>
          <w:rFonts w:ascii="Times New Roman" w:hAnsi="Times New Roman"/>
          <w:b w:val="false"/>
          <w:i w:val="false"/>
          <w:color w:val="000000"/>
          <w:sz w:val="21"/>
        </w:rPr>
        <w:t>[Filed 7/17/03, Notice 4/30/03—published 8/6/03, effective 9/10/03]</w:t>
      </w:r>
    </w:p>
    <w:p>
      <w:pPr>
        <w:spacing w:before="0" w:after="0"/>
        <w:ind w:left="120"/>
        <w:jc w:val="center"/>
      </w:pPr>
      <w:r>
        <w:rPr>
          <w:rFonts w:ascii="Times New Roman" w:hAnsi="Times New Roman"/>
          <w:b w:val="false"/>
          <w:i w:val="false"/>
          <w:color w:val="000000"/>
          <w:sz w:val="21"/>
        </w:rPr>
        <w:t>[Filed Emergency After Notice ARC 0246C</w:t>
      </w:r>
      <w:r>
        <w:rPr>
          <w:rFonts w:ascii="Times New Roman" w:hAnsi="Times New Roman"/>
          <w:b w:val="false"/>
          <w:i w:val="false"/>
          <w:color w:val="000000"/>
          <w:sz w:val="21"/>
        </w:rPr>
        <w:t xml:space="preserve"> (Notice ARC 0089C, IAB 4/18/12)</w:t>
      </w:r>
      <w:r>
        <w:rPr>
          <w:rFonts w:ascii="Times New Roman" w:hAnsi="Times New Roman"/>
          <w:b w:val="false"/>
          <w:i w:val="false"/>
          <w:color w:val="000000"/>
          <w:sz w:val="21"/>
        </w:rPr>
        <w:t>, IAB 8/8/12, effective 7/13/12]</w:t>
      </w:r>
    </w:p>
    <w:p>
      <w:pPr>
        <w:spacing w:before="0" w:after="0"/>
        <w:ind w:left="120"/>
        <w:jc w:val="center"/>
      </w:pPr>
      <w:r>
        <w:rPr>
          <w:rFonts w:ascii="Times New Roman" w:hAnsi="Times New Roman"/>
          <w:b w:val="false"/>
          <w:i w:val="false"/>
          <w:color w:val="000000"/>
          <w:sz w:val="21"/>
        </w:rPr>
        <w:t>[Filed ARC 0945C</w:t>
      </w:r>
      <w:r>
        <w:rPr>
          <w:rFonts w:ascii="Times New Roman" w:hAnsi="Times New Roman"/>
          <w:b w:val="false"/>
          <w:i w:val="false"/>
          <w:color w:val="000000"/>
          <w:sz w:val="21"/>
        </w:rPr>
        <w:t xml:space="preserve"> (Notice ARC 0780C, IAB 6/12/13)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r>
        <w:br/>
      </w:r>
      <w:r>
        <w:rPr>
          <w:rFonts w:ascii="Times New Roman" w:hAnsi="Times New Roman"/>
          <w:b w:val="false"/>
          <w:i w:val="false"/>
          <w:color w:val="000000"/>
          <w:sz w:val="21"/>
        </w:rPr>
        <w:t>[Filed ARC 2208C</w:t>
      </w:r>
      <w:r>
        <w:rPr>
          <w:rFonts w:ascii="Times New Roman" w:hAnsi="Times New Roman"/>
          <w:b w:val="false"/>
          <w:i w:val="false"/>
          <w:color w:val="000000"/>
          <w:sz w:val="21"/>
        </w:rPr>
        <w:t xml:space="preserve"> (Notice ARC 2101C, IAB 8/19/15)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2581C</w:t>
      </w:r>
      <w:r>
        <w:rPr>
          <w:rFonts w:ascii="Times New Roman" w:hAnsi="Times New Roman"/>
          <w:b w:val="false"/>
          <w:i w:val="false"/>
          <w:color w:val="000000"/>
          <w:sz w:val="21"/>
        </w:rPr>
        <w:t xml:space="preserve"> (Notice ARC 2338C, IAB 1/6/16)</w:t>
      </w:r>
      <w:r>
        <w:rPr>
          <w:rFonts w:ascii="Times New Roman" w:hAnsi="Times New Roman"/>
          <w:b w:val="false"/>
          <w:i w:val="false"/>
          <w:color w:val="000000"/>
          <w:sz w:val="21"/>
        </w:rPr>
        <w:t>, IAB 6/22/16, effective 7/27/16]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9.pdf" Type="http://schemas.openxmlformats.org/officeDocument/2006/relationships/hyperlink" Id="rId5"/>
    <Relationship TargetMode="External" Target="https://www.legis.iowa.gov/docs/iac/chapter/283.10.pdf" Type="http://schemas.openxmlformats.org/officeDocument/2006/relationships/hyperlink" Id="rId6"/>
    <Relationship TargetMode="External" Target="https://www.legis.iowa.gov/docs/iac/chapter/283.4.pdf" Type="http://schemas.openxmlformats.org/officeDocument/2006/relationships/hyperlink" Id="rId7"/>
    <Relationship TargetMode="External" Target="https://www.legis.iowa.gov/docs/iac/chapter/283.5.pdf" Type="http://schemas.openxmlformats.org/officeDocument/2006/relationships/hyperlink" Id="rId8"/>
    <Relationship TargetMode="External" Target="https://www.legis.iowa.gov/docs/ico/chapter/261.2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