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w:t>
      </w:r>
    </w:p>
    <w:p>
      <w:pPr>
        <w:spacing w:before="0" w:after="0"/>
        <w:ind w:left="120"/>
        <w:jc w:val="center"/>
      </w:pPr>
      <w:r>
        <w:rPr>
          <w:rFonts w:ascii="Times New Roman" w:hAnsi="Times New Roman"/>
          <w:b w:val="false"/>
          <w:i w:val="false"/>
          <w:color w:val="000000"/>
          <w:sz w:val="21"/>
        </w:rPr>
        <w:t>MENTAL HEALTH PROFESSIONAL LOAN REPAYMENT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3/15/28</w:t>
      </w:r>
    </w:p>
    <w:p>
      <w:pPr>
        <w:spacing w:before="0" w:after="0"/>
        <w:ind w:left="120"/>
        <w:jc w:val="both"/>
      </w:pPr>
      <w:r>
        <w:rPr>
          <w:rFonts w:ascii="Times New Roman" w:hAnsi="Times New Roman"/>
          <w:b/>
          <w:i w:val="false"/>
          <w:color w:val="000000"/>
          <w:sz w:val="22"/>
        </w:rPr>
        <w:t>283—31.1</w:t>
      </w:r>
      <w:r>
        <w:rPr>
          <w:rFonts w:ascii="Times New Roman" w:hAnsi="Times New Roman"/>
          <w:b/>
          <w:i w:val="false"/>
          <w:color w:val="000000"/>
          <w:sz w:val="22"/>
        </w:rPr>
        <w:t xml:space="preserve">(261)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institution” </w:t>
      </w:r>
      <w:r>
        <w:rPr>
          <w:rFonts w:ascii="Times New Roman" w:hAnsi="Times New Roman"/>
          <w:b w:val="false"/>
          <w:i w:val="false"/>
          <w:color w:val="000000"/>
          <w:sz w:val="22"/>
        </w:rPr>
        <w:t xml:space="preserve">means an institution of higher learning governed by the state board of regents or an accredited private institution as defined in Iowa Code section </w:t>
      </w:r>
      <w:hyperlink r:id="rId5">
        <w:r>
          <w:rPr>
            <w:rStyle w:val="Hyperlink"/>
            <w:rFonts w:ascii="Times New Roman" w:hAnsi="Times New Roman"/>
            <w:b w:val="false"/>
            <w:i w:val="false"/>
            <w:color w:val="000000"/>
            <w:sz w:val="22"/>
          </w:rPr>
          <w:t>261.9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loan” </w:t>
      </w:r>
      <w:r>
        <w:rPr>
          <w:rFonts w:ascii="Times New Roman" w:hAnsi="Times New Roman"/>
          <w:b w:val="false"/>
          <w:i w:val="false"/>
          <w:color w:val="000000"/>
          <w:sz w:val="22"/>
        </w:rPr>
        <w:t>means the total subsidized, unsubsidized, and consolidated Federal Stafford Loan amount under the Federal Family Education Loan Program, Federal Direct Loan Program, federal Graduate PLUS Loan, or federal Perkins Loan, including principal and interest. Only the outstanding portion of a federal consolidation loan that was used to repay an eligible subsidized or unsubsidized Federal Stafford Loan, Federal Direct Loan, federal Graduate PLUS Loan, or federal Perkins Loan qualifies for loan repayment. An individual who signs a program agreement to receive loan repayment under this program and who refinances an eligible loan by obtaining a private educational loan may continue to receive loan repayment awards.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practice area” </w:t>
      </w:r>
      <w:r>
        <w:rPr>
          <w:rFonts w:ascii="Times New Roman" w:hAnsi="Times New Roman"/>
          <w:b w:val="false"/>
          <w:i w:val="false"/>
          <w:color w:val="000000"/>
          <w:sz w:val="22"/>
        </w:rPr>
        <w:t>means a location in Iowa that is within a federal mental health shortage area, as designated by the health resources and services administration of the United States Department of Health and Human Services. Mental health professionals who serve clients who reside in eligible practice areas, including rural locations outside of city limits but within the federal mental health shortage area, are eligible to receive the loan repayment award if they are serving those clients on at least a part-time basis. If the designation status of a mental health shortage area is removed after the mental health professional signs an agreement, the mental health professional will continue to qualify for loan repayments provided that all other provisions of the agreement continue to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means that an average of at least 40 hours per week are spent providing services as a mental health professional to clients in eligible practice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professional” </w:t>
      </w:r>
      <w:r>
        <w:rPr>
          <w:rFonts w:ascii="Times New Roman" w:hAnsi="Times New Roman"/>
          <w:b w:val="false"/>
          <w:i w:val="false"/>
          <w:color w:val="000000"/>
          <w:sz w:val="22"/>
        </w:rPr>
        <w:t>means a nonprescribing individual who meets all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holds at least a master’s degree from an eligible institution in a mental health field, including psychology, counseling and guidance, social work, marriage and family therapy, or mental health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has at least two years of post-master’s degree clinical experience, supervised by another individual in the mental health field, in assessing and diagnosing mental health needs and problems and in providing mental health counseling services to individuals or groups on a full-time or part-time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holds a current practitioner’s license issued by an agency or board under the Iowa department of public health or its successor agency, authorizing the individual to practice as a licensed psychologist, licensed independent social worker or licensed master social worker, licensed marriage and family therapist, or licensed mental health counselor.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w:t>
      </w:r>
      <w:r>
        <w:rPr>
          <w:rFonts w:ascii="Times New Roman" w:hAnsi="Times New Roman"/>
          <w:b w:val="false"/>
          <w:i w:val="false"/>
          <w:color w:val="000000"/>
          <w:sz w:val="22"/>
        </w:rPr>
        <w:t>means that an average of at least 28 hours, but fewer than 40 hours, per week are spent providing services as a mental health professional to clients in eligible practice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6888C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283—31.2</w:t>
      </w:r>
      <w:r>
        <w:rPr>
          <w:rFonts w:ascii="Times New Roman" w:hAnsi="Times New Roman"/>
          <w:b/>
          <w:i w:val="false"/>
          <w:color w:val="000000"/>
          <w:sz w:val="22"/>
        </w:rPr>
        <w:t xml:space="preserve">(261) </w:t>
      </w:r>
      <w:r>
        <w:rPr>
          <w:rFonts w:ascii="Times New Roman" w:hAnsi="Times New Roman"/>
          <w:b/>
          <w:i w:val="false"/>
          <w:color w:val="000000"/>
          <w:sz w:val="22"/>
        </w:rPr>
        <w:t xml:space="preserve">Eligibility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 </w:t>
      </w:r>
      <w:r>
        <w:rPr>
          <w:rFonts w:ascii="Times New Roman" w:hAnsi="Times New Roman"/>
          <w:b w:val="false"/>
          <w:i w:val="false"/>
          <w:color w:val="000000"/>
          <w:sz w:val="22"/>
        </w:rPr>
        <w:t>An eligible applicant is a mental health professional or a person who agrees to become a mental health professional, agrees to sign a program agreement, and agrees to complete the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color w:val="000000"/>
          <w:sz w:val="22"/>
        </w:rPr>
        <w:t xml:space="preserve">Program agreement. </w:t>
      </w:r>
      <w:r>
        <w:rPr>
          <w:rFonts w:ascii="Times New Roman" w:hAnsi="Times New Roman"/>
          <w:b w:val="false"/>
          <w:i w:val="false"/>
          <w:color w:val="000000"/>
          <w:sz w:val="22"/>
        </w:rPr>
        <w:t>The program agreement specifies the obligation and other details pertaining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color w:val="000000"/>
          <w:sz w:val="22"/>
        </w:rPr>
        <w:t xml:space="preserve">Obligation. </w:t>
      </w:r>
      <w:r>
        <w:rPr>
          <w:rFonts w:ascii="Times New Roman" w:hAnsi="Times New Roman"/>
          <w:b w:val="false"/>
          <w:i w:val="false"/>
          <w:color w:val="000000"/>
          <w:sz w:val="22"/>
        </w:rPr>
        <w:t>An eligible applicant must agree to provide services as a mental health professional in an eligible practice area or eligible practice areas on a full-time basis for five consecutive years unless granted a waiver for part-time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6888C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283—31.3</w:t>
      </w:r>
      <w:r>
        <w:rPr>
          <w:rFonts w:ascii="Times New Roman" w:hAnsi="Times New Roman"/>
          <w:b/>
          <w:i w:val="false"/>
          <w:color w:val="000000"/>
          <w:sz w:val="22"/>
        </w:rPr>
        <w:t xml:space="preserve">(261) </w:t>
      </w:r>
      <w:r>
        <w:rPr>
          <w:rFonts w:ascii="Times New Roman" w:hAnsi="Times New Roman"/>
          <w:b/>
          <w:i w:val="false"/>
          <w:color w:val="000000"/>
          <w:sz w:val="22"/>
        </w:rPr>
        <w:t xml:space="preserve">Awarding and payment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New program agreements will be entered into with eligible applicants who are mental health professionals or agree to become mental health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color w:val="000000"/>
          <w:sz w:val="22"/>
        </w:rPr>
        <w:t xml:space="preserve">Priority for awards. </w:t>
      </w:r>
      <w:r>
        <w:rPr>
          <w:rFonts w:ascii="Times New Roman" w:hAnsi="Times New Roman"/>
          <w:b w:val="false"/>
          <w:i w:val="false"/>
          <w:color w:val="000000"/>
          <w:sz w:val="22"/>
        </w:rPr>
        <w:t>In the event that funding is insufficient to award all new eligible applicants, eligible applicants will be prioritized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are Iowa residents or eligible applicants who are members of the Iowa national guard, if requested by the adjutant general. Members of the Iowa national guard must have satisfactorily completed required guard training and must maintain satisfactory performance of guard duty. In the event that funding is insufficient to award all new eligible applicants who meet these criteria, selection of new eligible applicants will be further prioritized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are students in their final year of the degree program that leads to their qualification as a mental health professional, according to the date the application was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Eligible applicants completing the two-year post-degree clinical experience required to be a mental health professional, according to the date the application was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other eligible applicants based on the fiscal year in which the eligible applicant met the requirements of a mental health professional, with priority given to those meeting the requirements in the most recent fiscal year. In the event that funding is insufficient to award all new eligible applicants who met the requirements of a mental health professional within a given fiscal year, eligible applicants who met the criteria in that fiscal year will be prioritized according to the date the application was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are not Iowa residents and are not members of the Iowa national guard requested by the adjutant general. In the event that funding is insufficient to award all new eligible applicants who meet these criteria, selection of new eligible applicants will be further prioritized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are students in their final year of the degree program that leads to their qualification as a mental health professional, according to the date the application was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Eligible applicants completing the two-year post-degree clinical experience required to be a mental health professional, according to the date the application was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eligible applicants based on the fiscal year in which the eligible applicant met the requirements of a mental health professional, with priority given to those meeting the requirements in the most recent fiscal year. In the event that funding is insufficient to award all new eligible applicants who met the requirements of a mental health professional within a given fiscal year, eligible applicants who met the criteria in that fiscal year will be prioritized according to the date the application was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31.3(3)</w:t>
      </w:r>
      <w:r>
        <w:rPr>
          <w:rFonts w:ascii="Times New Roman" w:hAnsi="Times New Roman"/>
          <w:b w:val="false"/>
          <w:i w:val="false"/>
          <w:color w:val="000000"/>
          <w:sz w:val="22"/>
        </w:rPr>
        <w:t> </w:t>
      </w:r>
      <w:r>
        <w:rPr>
          <w:rFonts w:ascii="Times New Roman" w:hAnsi="Times New Roman"/>
          <w:b w:val="false"/>
          <w:i/>
          <w:color w:val="000000"/>
          <w:sz w:val="22"/>
        </w:rPr>
        <w:t xml:space="preserve">Mental health professional service requirement. </w:t>
      </w:r>
      <w:r>
        <w:rPr>
          <w:rFonts w:ascii="Times New Roman" w:hAnsi="Times New Roman"/>
          <w:b w:val="false"/>
          <w:i w:val="false"/>
          <w:color w:val="000000"/>
          <w:sz w:val="22"/>
        </w:rPr>
        <w:t>The service requirement for a full-time mental health professional is five years. The service requirement for a mental health professional who is granted a waiver for part-time practice will not exceed seven consecutive years. The mental health professional must annually verify, in a format acceptable to the commission, that the mental health professional provided mental health services in an eligible practice area or eligible practice areas on a full-time basis, or on a part-time basis if a waiver for part-time practice is granted, for each year of required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31.3(4)</w:t>
      </w:r>
      <w:r>
        <w:rPr>
          <w:rFonts w:ascii="Times New Roman" w:hAnsi="Times New Roman"/>
          <w:b w:val="false"/>
          <w:i w:val="false"/>
          <w:color w:val="000000"/>
          <w:sz w:val="22"/>
        </w:rPr>
        <w:t> </w:t>
      </w:r>
      <w:r>
        <w:rPr>
          <w:rFonts w:ascii="Times New Roman" w:hAnsi="Times New Roman"/>
          <w:b w:val="false"/>
          <w:i/>
          <w:color w:val="000000"/>
          <w:sz w:val="22"/>
        </w:rPr>
        <w:t xml:space="preserve">Award amounts. </w:t>
      </w:r>
      <w:r>
        <w:rPr>
          <w:rFonts w:ascii="Times New Roman" w:hAnsi="Times New Roman"/>
          <w:b w:val="false"/>
          <w:i w:val="false"/>
          <w:color w:val="000000"/>
          <w:sz w:val="22"/>
        </w:rPr>
        <w:t>A mental health professional may receive up to $40,000. The maximum award will be paid after the service requirement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31.3(5)</w:t>
      </w:r>
      <w:r>
        <w:rPr>
          <w:rFonts w:ascii="Times New Roman" w:hAnsi="Times New Roman"/>
          <w:b w:val="false"/>
          <w:i w:val="false"/>
          <w:color w:val="000000"/>
          <w:sz w:val="22"/>
        </w:rPr>
        <w:t> </w:t>
      </w:r>
      <w:r>
        <w:rPr>
          <w:rFonts w:ascii="Times New Roman" w:hAnsi="Times New Roman"/>
          <w:b w:val="false"/>
          <w:i/>
          <w:color w:val="000000"/>
          <w:sz w:val="22"/>
        </w:rPr>
        <w:t xml:space="preserve">Award proration and disbursement. </w:t>
      </w:r>
      <w:r>
        <w:rPr>
          <w:rFonts w:ascii="Times New Roman" w:hAnsi="Times New Roman"/>
          <w:b w:val="false"/>
          <w:i w:val="false"/>
          <w:color w:val="000000"/>
          <w:sz w:val="22"/>
        </w:rPr>
        <w:t>An award will not exceed the outstanding balance of the mental health professional’s eligible loans.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6888C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283—31.4</w:t>
      </w:r>
      <w:r>
        <w:rPr>
          <w:rFonts w:ascii="Times New Roman" w:hAnsi="Times New Roman"/>
          <w:b/>
          <w:i w:val="false"/>
          <w:color w:val="000000"/>
          <w:sz w:val="22"/>
        </w:rPr>
        <w:t xml:space="preserve">(261) </w:t>
      </w:r>
      <w:r>
        <w:rPr>
          <w:rFonts w:ascii="Times New Roman" w:hAnsi="Times New Roman"/>
          <w:b/>
          <w:i w:val="false"/>
          <w:color w:val="000000"/>
          <w:sz w:val="22"/>
        </w:rPr>
        <w:t xml:space="preserve">Part-time practice. </w:t>
      </w:r>
      <w:r>
        <w:rPr>
          <w:rFonts w:ascii="Times New Roman" w:hAnsi="Times New Roman"/>
          <w:b w:val="false"/>
          <w:i w:val="false"/>
          <w:color w:val="000000"/>
          <w:sz w:val="22"/>
        </w:rPr>
        <w:t>The commission may waive the requirement that the mental health professional be employed full time if the mental health professional requests a waiver from the commission in writing and provides mental health services in eligible practice areas at least 28 hours per 40-hour workweek. If a waiver request is granted by the commission, the agreement will be amended to provide an allowance for part-time employment. The five-year employment obligation will be proportionally extended to ensure the mental health professional provides mental health services in eligible practice areas for the equivalent of five full-time years, not to exceed a total of seven consecutive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6888C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283—31.5</w:t>
      </w:r>
      <w:r>
        <w:rPr>
          <w:rFonts w:ascii="Times New Roman" w:hAnsi="Times New Roman"/>
          <w:b/>
          <w:i w:val="false"/>
          <w:color w:val="000000"/>
          <w:sz w:val="22"/>
        </w:rPr>
        <w:t xml:space="preserve">(261) </w:t>
      </w:r>
      <w:r>
        <w:rPr>
          <w:rFonts w:ascii="Times New Roman" w:hAnsi="Times New Roman"/>
          <w:b/>
          <w:i w:val="false"/>
          <w:color w:val="000000"/>
          <w:sz w:val="22"/>
        </w:rPr>
        <w:t xml:space="preserve">Satisfaction of employment obligation. </w:t>
      </w:r>
      <w:r>
        <w:rPr>
          <w:rFonts w:ascii="Times New Roman" w:hAnsi="Times New Roman"/>
          <w:b w:val="false"/>
          <w:i w:val="false"/>
          <w:color w:val="000000"/>
          <w:sz w:val="22"/>
        </w:rPr>
        <w:t>All obligations under the mental health professional loan repayment program are considered to be satisfied when any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terms of the agreement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who entered into the agreement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who entered into the agreement, due to permanent disability, is unable to meet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who entered into the agreement has no remaining eligible loan balance to repay.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6888C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283—31.6</w:t>
      </w:r>
      <w:r>
        <w:rPr>
          <w:rFonts w:ascii="Times New Roman" w:hAnsi="Times New Roman"/>
          <w:b/>
          <w:i w:val="false"/>
          <w:color w:val="000000"/>
          <w:sz w:val="22"/>
        </w:rPr>
        <w:t xml:space="preserve">(261) </w:t>
      </w:r>
      <w:r>
        <w:rPr>
          <w:rFonts w:ascii="Times New Roman" w:hAnsi="Times New Roman"/>
          <w:b/>
          <w:i w:val="false"/>
          <w:color w:val="000000"/>
          <w:sz w:val="22"/>
        </w:rPr>
        <w:t xml:space="preserve">Restrictions. </w:t>
      </w:r>
      <w:r>
        <w:rPr>
          <w:rFonts w:ascii="Times New Roman" w:hAnsi="Times New Roman"/>
          <w:b w:val="false"/>
          <w:i w:val="false"/>
          <w:color w:val="000000"/>
          <w:sz w:val="22"/>
        </w:rPr>
        <w:t xml:space="preserve">A recipient of an award under Iowa Code section </w:t>
      </w:r>
      <w:hyperlink r:id="rId6">
        <w:r>
          <w:rPr>
            <w:rStyle w:val="Hyperlink"/>
            <w:rFonts w:ascii="Times New Roman" w:hAnsi="Times New Roman"/>
            <w:b w:val="false"/>
            <w:i w:val="false"/>
            <w:color w:val="000000"/>
            <w:sz w:val="22"/>
          </w:rPr>
          <w:t>261.114</w:t>
        </w:r>
      </w:hyperlink>
      <w:r>
        <w:rPr>
          <w:rFonts w:ascii="Times New Roman" w:hAnsi="Times New Roman"/>
          <w:b w:val="false"/>
          <w:i w:val="false"/>
          <w:color w:val="000000"/>
          <w:sz w:val="22"/>
        </w:rPr>
        <w:t xml:space="preserve"> shall not be eligible for an award under this chapter. A mental health professional who is in default on a Stafford loan, SLS Loan, Grad PLUS Loan, or a Perkins/National Direct/National Defense Student Loan or who owes a repayment on any Title IV grant assistance or state award shall be ineligible for repayment benefits. Eligibility for state aid may be reinstated upon payment in full of the delinquent obligation or by commission ruling on the basis of adequate extenuating evidence presented in appeal under the procedures set forth in </w:t>
      </w:r>
      <w:hyperlink r:id="rId7">
        <w:r>
          <w:rPr>
            <w:rStyle w:val="Hyperlink"/>
            <w:rFonts w:ascii="Times New Roman" w:hAnsi="Times New Roman"/>
            <w:b w:val="false"/>
            <w:i w:val="false"/>
            <w:color w:val="000000"/>
            <w:sz w:val="22"/>
          </w:rPr>
          <w:t>283—Chapter 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6888C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261.117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6888C</w:t>
      </w:r>
      <w:r>
        <w:rPr>
          <w:rFonts w:ascii="Times New Roman" w:hAnsi="Times New Roman"/>
          <w:b w:val="false"/>
          <w:i w:val="false"/>
          <w:color w:val="000000"/>
          <w:sz w:val="21"/>
        </w:rPr>
        <w:t xml:space="preserve"> (Notice ARC 6759C, IAB 12/14/22)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1.9.pdf" Type="http://schemas.openxmlformats.org/officeDocument/2006/relationships/hyperlink" Id="rId5"/>
    <Relationship TargetMode="External" Target="https://www.legis.iowa.gov/docs/ico/chapter/261.114.pdf" Type="http://schemas.openxmlformats.org/officeDocument/2006/relationships/hyperlink" Id="rId6"/>
    <Relationship TargetMode="External" Target="https://www.legis.iowa.gov/docs/iac/chapter/283.5.pdf" Type="http://schemas.openxmlformats.org/officeDocument/2006/relationships/hyperlink" Id="rId7"/>
    <Relationship TargetMode="External" Target="https://www.legis.iowa.gov/docs/ico/chapter/261.117.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