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IOWA NATIONAL GUARD STUDENT LOAN REPAYMENT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283—30.1</w:t>
      </w:r>
      <w:r>
        <w:rPr>
          <w:rFonts w:ascii="Times New Roman" w:hAnsi="Times New Roman"/>
          <w:b/>
          <w:i w:val="false"/>
          <w:color w:val="000000"/>
          <w:sz w:val="22"/>
        </w:rPr>
        <w:t xml:space="preserve">(261) </w:t>
      </w:r>
      <w:r>
        <w:rPr>
          <w:rFonts w:ascii="Times New Roman" w:hAnsi="Times New Roman"/>
          <w:b/>
          <w:i w:val="false"/>
          <w:color w:val="000000"/>
          <w:sz w:val="22"/>
        </w:rPr>
        <w:t xml:space="preserve">Loan repayment awards to Iowa national guard members. </w:t>
      </w:r>
      <w:r>
        <w:rPr>
          <w:rFonts w:ascii="Times New Roman" w:hAnsi="Times New Roman"/>
          <w:b w:val="false"/>
          <w:i w:val="false"/>
          <w:color w:val="000000"/>
          <w:sz w:val="22"/>
        </w:rPr>
        <w:t xml:space="preserve">In the event that the adjutant general authorizes the expenditure of unencumbered or unobligated funds from Iowa Code section </w:t>
      </w:r>
      <w:hyperlink r:id="rId5">
        <w:r>
          <w:rPr>
            <w:rStyle w:val="Hyperlink"/>
            <w:rFonts w:ascii="Times New Roman" w:hAnsi="Times New Roman"/>
            <w:b w:val="false"/>
            <w:i w:val="false"/>
            <w:color w:val="000000"/>
            <w:sz w:val="22"/>
          </w:rPr>
          <w:t>261.86(6)</w:t>
        </w:r>
      </w:hyperlink>
      <w:r>
        <w:rPr>
          <w:rFonts w:ascii="Times New Roman" w:hAnsi="Times New Roman"/>
          <w:b w:val="false"/>
          <w:i w:val="false"/>
          <w:color w:val="000000"/>
          <w:sz w:val="22"/>
        </w:rPr>
        <w:t xml:space="preserve"> for the recruitment or retention of individuals by issuing student loan repayment awards to an eligible member of the Iowa national guard, this chapter shall be used to administer authorized awards. The adjutant general shall select program recipients and authorize awards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program of study” </w:t>
      </w:r>
      <w:r>
        <w:rPr>
          <w:rFonts w:ascii="Times New Roman" w:hAnsi="Times New Roman"/>
          <w:b w:val="false"/>
          <w:i w:val="false"/>
          <w:color w:val="000000"/>
          <w:sz w:val="22"/>
        </w:rPr>
        <w:t>means a program of study in science, technology, engineering, and mathematics-related military occupational specialties or air force specialty codes that is in compliance with the federal Edith Nourse Rogers STEM Scholarship program established under 38 United States Code §3320.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active duty” </w:t>
      </w:r>
      <w:r>
        <w:rPr>
          <w:rFonts w:ascii="Times New Roman" w:hAnsi="Times New Roman"/>
          <w:b w:val="false"/>
          <w:i w:val="false"/>
          <w:color w:val="000000"/>
          <w:sz w:val="22"/>
        </w:rPr>
        <w:t>means military duty performed pursuant to orders issued under Title 10, United States Code, other than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student loan” </w:t>
      </w:r>
      <w:r>
        <w:rPr>
          <w:rFonts w:ascii="Times New Roman" w:hAnsi="Times New Roman"/>
          <w:b w:val="false"/>
          <w:i w:val="false"/>
          <w:color w:val="000000"/>
          <w:sz w:val="22"/>
        </w:rPr>
        <w:t xml:space="preserve">means a federally guaranteed Stafford Loan under the Federal Family Education Loan Program or the Federal Direct Loan Program, a federal Grad PLUS Loan, or a federal Perkins Loan, including principal and interest. Only the outstanding portion of a federal consolidation loan that was used to repay a qualified student loan qualifies for loan repayment.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An eligible guard member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resident of Iowa, as defined by the adjutant general of Iowa, and a member of an Iowa army or air national guard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satisfactorily completed required guard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maintained satisfactory performance of guard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applied to the adjutant general of Iowa by the established application deadline date(s) by completing any application form required. The adjutant general shall accept an application from an eligible member of the Iowa national guard who was on federal active duty at the time of an application deadline if the application is received within 30 days after the eligible member returns to Iowa from federal active duty. A new application may be required in subsequent years to renew loan repayment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pursuing or have completed an eligible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been offered the loan repayment incentive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military entrance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the final year of the service member’s initial contract obligation, and the individual must sign a six-year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Continue to meet the requirements of the contract with the Iowa national guard and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The adjutant general will select eligible guard members to receive the student loan repayment benefit. Neither eligibility nor loan repayment award determinations shall be based upon an eligible guard member’s unit, the location at which drills are attended, or whether the eligible guard member is a member of the Iowa army or air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w:t>
      </w:r>
      <w:r>
        <w:rPr>
          <w:rFonts w:ascii="Times New Roman" w:hAnsi="Times New Roman"/>
          <w:b w:val="false"/>
          <w:i w:val="false"/>
          <w:color w:val="000000"/>
          <w:sz w:val="22"/>
        </w:rPr>
        <w:t> </w:t>
      </w:r>
      <w:r>
        <w:rPr>
          <w:rFonts w:ascii="Times New Roman" w:hAnsi="Times New Roman"/>
          <w:b w:val="false"/>
          <w:i/>
          <w:color w:val="000000"/>
          <w:sz w:val="22"/>
        </w:rPr>
        <w:t xml:space="preserve">Annual award. </w:t>
      </w:r>
      <w:r>
        <w:rPr>
          <w:rFonts w:ascii="Times New Roman" w:hAnsi="Times New Roman"/>
          <w:b w:val="false"/>
          <w:i w:val="false"/>
          <w:color w:val="000000"/>
          <w:sz w:val="22"/>
        </w:rPr>
        <w:t>The maximum award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$5,000,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100 percent of the eligible guard member’s outstanding qualified student loan.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w:t>
      </w:r>
      <w:r>
        <w:rPr>
          <w:rFonts w:ascii="Times New Roman" w:hAnsi="Times New Roman"/>
          <w:b w:val="false"/>
          <w:i w:val="false"/>
          <w:color w:val="000000"/>
          <w:sz w:val="22"/>
        </w:rPr>
        <w:t> </w:t>
      </w:r>
      <w:r>
        <w:rPr>
          <w:rFonts w:ascii="Times New Roman" w:hAnsi="Times New Roman"/>
          <w:b w:val="false"/>
          <w:i/>
          <w:color w:val="000000"/>
          <w:sz w:val="22"/>
        </w:rPr>
        <w:t xml:space="preserve">Extent of repayment. </w:t>
      </w:r>
      <w:r>
        <w:rPr>
          <w:rFonts w:ascii="Times New Roman" w:hAnsi="Times New Roman"/>
          <w:b w:val="false"/>
          <w:i w:val="false"/>
          <w:color w:val="000000"/>
          <w:sz w:val="22"/>
        </w:rPr>
        <w:t>Eligible guard members may receive loan repayment for no more than six consecutive years. Eligible guard members who fail to receive loan repayment awards in consecutive years will not be considered for subsequent years of loan repayment.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loan repayment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repayment awards will be disbursed upon completion of the year for which the award was approved. Prior to issuing the loan repayment award, commission staff will certify that the eligible guard member meets the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completion of the provisions in </w:t>
      </w:r>
      <w:hyperlink r:id="rId6">
        <w:r>
          <w:rPr>
            <w:rStyle w:val="Hyperlink"/>
            <w:rFonts w:ascii="Times New Roman" w:hAnsi="Times New Roman"/>
            <w:b w:val="false"/>
            <w:i w:val="false"/>
            <w:color w:val="000000"/>
            <w:sz w:val="22"/>
          </w:rPr>
          <w:t>paragraph 30.1(6)</w:t>
        </w:r>
      </w:hyperlink>
      <w:r>
        <w:rPr>
          <w:rFonts w:ascii="Times New Roman" w:hAnsi="Times New Roman"/>
          <w:b w:val="false"/>
          <w:i/>
          <w:color w:val="000000"/>
          <w:sz w:val="22"/>
        </w:rPr>
        <w:t>“a,”</w:t>
      </w:r>
      <w:r>
        <w:rPr>
          <w:rFonts w:ascii="Times New Roman" w:hAnsi="Times New Roman"/>
          <w:b w:val="false"/>
          <w:i w:val="false"/>
          <w:color w:val="000000"/>
          <w:sz w:val="22"/>
        </w:rPr>
        <w:t xml:space="preserve"> loan repayment awards will be distributed to the eligible guard member’s student loan holder and applied directly to qualified student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w:t>
      </w:r>
      <w:r>
        <w:rPr>
          <w:rFonts w:ascii="Times New Roman" w:hAnsi="Times New Roman"/>
          <w:b w:val="false"/>
          <w:i w:val="false"/>
          <w:color w:val="000000"/>
          <w:sz w:val="22"/>
        </w:rPr>
        <w:t> </w:t>
      </w:r>
      <w:r>
        <w:rPr>
          <w:rFonts w:ascii="Times New Roman" w:hAnsi="Times New Roman"/>
          <w:b w:val="false"/>
          <w:i/>
          <w:color w:val="000000"/>
          <w:sz w:val="22"/>
        </w:rPr>
        <w:t xml:space="preserve">Loan repayment cancellation. </w:t>
      </w:r>
      <w:r>
        <w:rPr>
          <w:rFonts w:ascii="Times New Roman" w:hAnsi="Times New Roman"/>
          <w:b w:val="false"/>
          <w:i w:val="false"/>
          <w:color w:val="000000"/>
          <w:sz w:val="22"/>
        </w:rPr>
        <w:t>The adjutant general may cancel future loan repayment benefits for an individual if the individual does not continue to meet the provisions under this chapter or if funding is insufficient to provide future loan repayment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An eligible guard member who is in default on a qualified student loan or who owes a repayment on any Title IV grant assistance or state award shall be ineligible for loan repayment benefits. Eligibility may be reinstated upon payment in full of the delinquent obligation or by commission ruling on the basis of adequate extenuating evidence presented in appeal under the procedures set forth in </w:t>
      </w:r>
      <w:hyperlink r:id="rId7">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 Changes in eligible guard member eligibility will be sent to the commission within 30 days of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5969C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2021 Iowa Acts, House File 428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5969C</w:t>
      </w:r>
      <w:r>
        <w:rPr>
          <w:rFonts w:ascii="Times New Roman" w:hAnsi="Times New Roman"/>
          <w:b w:val="false"/>
          <w:i w:val="false"/>
          <w:color w:val="000000"/>
          <w:sz w:val="21"/>
        </w:rPr>
        <w:t xml:space="preserve"> (Notice ARC 5857C, IAB 8/11/21)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86.pdf" Type="http://schemas.openxmlformats.org/officeDocument/2006/relationships/hyperlink" Id="rId5"/>
    <Relationship TargetMode="External" Target="https://www.legis.iowa.gov/docs/iac/rule/283.30.1.pdf" Type="http://schemas.openxmlformats.org/officeDocument/2006/relationships/hyperlink" Id="rId6"/>
    <Relationship TargetMode="External" Target="https://www.legis.iowa.gov/docs/iac/chapter/283.4.pdf" Type="http://schemas.openxmlformats.org/officeDocument/2006/relationships/hyperlink" Id="rId7"/>
    <Relationship TargetMode="External" Target="https://www.legis.iowa.gov/docs/iac/chapter/283.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