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8/10/88, see College Aid Commission, 245—13.4 and 13.5]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283—3.1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college student aid commission for a declaratory order as to the applicability to specified circumstances of a statute, rule, or order within the primary jurisdiction of the commission, at 400 E. 14th Street, Des Moines, Iowa 50319-0146. A petition is deemed filed when it is received by the commission. The commission shall provide the petitioner with a file-stamped copy of the petition if the petitioner provides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COLLEGE STUDENT AID COMMISSION</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a Declaratory Order on</w:t>
            </w:r>
          </w:p>
          <w:p>
            <w:pPr>
              <w:spacing w:before="0" w:after="0"/>
              <w:ind w:left="160"/>
              <w:jc w:val="left"/>
            </w:pPr>
            <w:r>
              <w:rPr>
                <w:rFonts w:ascii="Times New Roman" w:hAnsi="Times New Roman"/>
                <w:b w:val="false"/>
                <w:i w:val="false"/>
                <w:color w:val="000000"/>
                <w:sz w:val="16"/>
              </w:rPr>
              <w:t>(Cite provisions of law involved).</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3.7(17A)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1490C</w:t>
      </w:r>
      <w:r>
        <w:rPr>
          <w:rFonts w:ascii="Times New Roman" w:hAnsi="Times New Roman"/>
          <w:b w:val="false"/>
          <w:i w:val="false"/>
          <w:color w:val="000000"/>
          <w:sz w:val="16"/>
        </w:rPr>
        <w:t>, IAB 6/11/14, effective 7/30/14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283—3.2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15 days after receipt of a petition for a declaratory order, the college student aid commission shall give notice of the petition to all persons not served by the petitioner pursuant to </w:t>
      </w:r>
      <w:hyperlink r:id="rId6">
        <w:r>
          <w:rPr>
            <w:rStyle w:val="Hyperlink"/>
            <w:rFonts w:ascii="Times New Roman" w:hAnsi="Times New Roman"/>
            <w:b w:val="false"/>
            <w:i w:val="false"/>
            <w:color w:val="000000"/>
            <w:sz w:val="22"/>
          </w:rPr>
          <w:t>3.6(17A)</w:t>
        </w:r>
      </w:hyperlink>
      <w:r>
        <w:rPr>
          <w:rFonts w:ascii="Times New Roman" w:hAnsi="Times New Roman"/>
          <w:b w:val="false"/>
          <w:i w:val="false"/>
          <w:color w:val="000000"/>
          <w:sz w:val="22"/>
        </w:rPr>
        <w:t xml:space="preserve"> to whom notice is required by any provision of law. The commission may also give notice to any other persons.</w:t>
      </w:r>
    </w:p>
    <w:p>
      <w:pPr>
        <w:spacing w:before="0" w:after="0"/>
        <w:ind w:left="120"/>
        <w:jc w:val="both"/>
      </w:pPr>
      <w:r>
        <w:rPr>
          <w:rFonts w:ascii="Times New Roman" w:hAnsi="Times New Roman"/>
          <w:b/>
          <w:i w:val="false"/>
          <w:color w:val="000000"/>
          <w:sz w:val="22"/>
        </w:rPr>
        <w:t>283—3.3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qualify under any applicable provision of law as an intervenor and who file a petition for intervention within 15 days of the filing of a petition for declaratory order (after time for notice under </w:t>
      </w:r>
      <w:hyperlink r:id="rId7">
        <w:r>
          <w:rPr>
            <w:rStyle w:val="Hyperlink"/>
            <w:rFonts w:ascii="Times New Roman" w:hAnsi="Times New Roman"/>
            <w:b w:val="false"/>
            <w:i w:val="false"/>
            <w:color w:val="000000"/>
            <w:sz w:val="22"/>
          </w:rPr>
          <w:t>3.2(17A)</w:t>
        </w:r>
      </w:hyperlink>
      <w:r>
        <w:rPr>
          <w:rFonts w:ascii="Times New Roman" w:hAnsi="Times New Roman"/>
          <w:b w:val="false"/>
          <w:i w:val="false"/>
          <w:color w:val="000000"/>
          <w:sz w:val="22"/>
        </w:rPr>
        <w:t xml:space="preserve"> and before 30-day time for agency action under </w:t>
      </w:r>
      <w:hyperlink r:id="rId8">
        <w:r>
          <w:rPr>
            <w:rStyle w:val="Hyperlink"/>
            <w:rFonts w:ascii="Times New Roman" w:hAnsi="Times New Roman"/>
            <w:b w:val="false"/>
            <w:i w:val="false"/>
            <w:color w:val="000000"/>
            <w:sz w:val="22"/>
          </w:rPr>
          <w:t>3.8(17A)</w:t>
        </w:r>
      </w:hyperlink>
      <w:r>
        <w:rPr>
          <w:rFonts w:ascii="Times New Roman" w:hAnsi="Times New Roman"/>
          <w:b w:val="false"/>
          <w:i w:val="false"/>
          <w:color w:val="000000"/>
          <w:sz w:val="22"/>
        </w:rPr>
        <w:t>)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A petition for intervention shall be filed at 400 E. 14th Street, Des Moines, Iowa 50319-0146. Such a petition is deemed filed when it is received by the commission. The commission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COLLEGE STUDENT AID COMMISSION</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Original Petitioner)</w:t>
            </w:r>
          </w:p>
          <w:p>
            <w:pPr>
              <w:spacing w:before="0" w:after="0"/>
              <w:ind w:left="160"/>
              <w:jc w:val="left"/>
            </w:pPr>
            <w:r>
              <w:rPr>
                <w:rFonts w:ascii="Times New Roman" w:hAnsi="Times New Roman"/>
                <w:b w:val="false"/>
                <w:i w:val="false"/>
                <w:color w:val="000000"/>
                <w:sz w:val="16"/>
              </w:rPr>
              <w:t>for a Declaratory Order on (Cite</w:t>
            </w:r>
          </w:p>
          <w:p>
            <w:pPr>
              <w:spacing w:before="0" w:after="0"/>
              <w:ind w:left="160"/>
              <w:jc w:val="left"/>
            </w:pPr>
            <w:r>
              <w:rPr>
                <w:rFonts w:ascii="Times New Roman" w:hAnsi="Times New Roman"/>
                <w:b w:val="false"/>
                <w:i w:val="false"/>
                <w:color w:val="000000"/>
                <w:sz w:val="16"/>
              </w:rPr>
              <w:t>provisions of law cited in original petition).</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1490C</w:t>
      </w:r>
      <w:r>
        <w:rPr>
          <w:rFonts w:ascii="Times New Roman" w:hAnsi="Times New Roman"/>
          <w:b w:val="false"/>
          <w:i w:val="false"/>
          <w:color w:val="000000"/>
          <w:sz w:val="16"/>
        </w:rPr>
        <w:t>, IAB 6/11/14, effective 7/30/14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283—3.4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commission may request a brief from the petitioner, any intervenor, or any other person concerning the questions raised.</w:t>
      </w:r>
    </w:p>
    <w:p>
      <w:pPr>
        <w:spacing w:before="0" w:after="0"/>
        <w:ind w:left="120"/>
        <w:jc w:val="both"/>
      </w:pPr>
      <w:r>
        <w:rPr>
          <w:rFonts w:ascii="Times New Roman" w:hAnsi="Times New Roman"/>
          <w:b/>
          <w:i w:val="false"/>
          <w:color w:val="000000"/>
          <w:sz w:val="22"/>
        </w:rPr>
        <w:t>283—3.5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Executive Director, College Student Aid Commission, 400 E. 14th Street, Des Moines, Iowa 50319-0146.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1490C</w:t>
      </w:r>
      <w:r>
        <w:rPr>
          <w:rFonts w:ascii="Times New Roman" w:hAnsi="Times New Roman"/>
          <w:b w:val="false"/>
          <w:i w:val="false"/>
          <w:color w:val="000000"/>
          <w:sz w:val="16"/>
        </w:rPr>
        <w:t>, IAB 6/11/14, effective 7/30/14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their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College Student Aid Commission, 400 E. 14th Street, Des Moines, Iowa 50319-0146. All petitions, briefs, or other papers that are required to be served upon a party shall be filed simultaneously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uniform rule on contested cases </w:t>
      </w:r>
      <w:hyperlink r:id="rId9">
        <w:r>
          <w:rPr>
            <w:rStyle w:val="Hyperlink"/>
            <w:rFonts w:ascii="Times New Roman" w:hAnsi="Times New Roman"/>
            <w:b w:val="false"/>
            <w:i w:val="false"/>
            <w:color w:val="000000"/>
            <w:sz w:val="22"/>
          </w:rPr>
          <w:t>3.12(17A)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1490C</w:t>
      </w:r>
      <w:r>
        <w:rPr>
          <w:rFonts w:ascii="Times New Roman" w:hAnsi="Times New Roman"/>
          <w:b w:val="false"/>
          <w:i w:val="false"/>
          <w:color w:val="000000"/>
          <w:sz w:val="16"/>
        </w:rPr>
        <w:t>, IAB 6/11/14, effective 7/30/14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2/10/21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4/3/24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283—3.7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college student aid commission must schedule a brief and informal meeting between the original petitioner, all intervenors, and the commission, a member of the commission, or a member of the staff of the commission, to discuss the questions raised. The commission may solicit comments from any person on the questions raised. Comments on the questions raised may be submitted to the commission by any person.</w:t>
      </w:r>
    </w:p>
    <w:p>
      <w:pPr>
        <w:spacing w:before="0" w:after="0"/>
        <w:ind w:left="120"/>
        <w:jc w:val="both"/>
      </w:pPr>
      <w:r>
        <w:rPr>
          <w:rFonts w:ascii="Times New Roman" w:hAnsi="Times New Roman"/>
          <w:b/>
          <w:i w:val="false"/>
          <w:color w:val="000000"/>
          <w:sz w:val="22"/>
        </w:rPr>
        <w:t>283—3.8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time allowed by Iowa Code section </w:t>
      </w:r>
      <w:hyperlink r:id="rId10">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 xml:space="preserve"> after receipt of a petition for a declaratory order, the executive director or designee shall take action on the petition as required by Iowa Code section </w:t>
      </w:r>
      <w:hyperlink r:id="rId11">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issuance of an order or of a refusal to issue an order is as defined in contested case uniform rule </w:t>
      </w:r>
      <w:hyperlink r:id="rId12">
        <w:r>
          <w:rPr>
            <w:rStyle w:val="Hyperlink"/>
            <w:rFonts w:ascii="Times New Roman" w:hAnsi="Times New Roman"/>
            <w:b w:val="false"/>
            <w:i w:val="false"/>
            <w:color w:val="000000"/>
            <w:sz w:val="22"/>
          </w:rPr>
          <w:t>283—4.2</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283—3.9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not issue a declaratory order where prohibited by Iowa Code section </w:t>
      </w:r>
      <w:hyperlink r:id="rId13">
        <w:r>
          <w:rPr>
            <w:rStyle w:val="Hyperlink"/>
            <w:rFonts w:ascii="Times New Roman" w:hAnsi="Times New Roman"/>
            <w:b w:val="false"/>
            <w:i w:val="false"/>
            <w:color w:val="000000"/>
            <w:sz w:val="22"/>
          </w:rPr>
          <w:t>17A.9(1)</w:t>
        </w:r>
      </w:hyperlink>
      <w:r>
        <w:rPr>
          <w:rFonts w:ascii="Times New Roman" w:hAnsi="Times New Roman"/>
          <w:b w:val="false"/>
          <w:i w:val="false"/>
          <w:color w:val="000000"/>
          <w:sz w:val="22"/>
        </w:rPr>
        <w:t xml:space="preserve">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commission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commission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commission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commission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commission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commission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p>
      <w:pPr>
        <w:spacing w:before="0" w:after="0"/>
        <w:ind w:left="120"/>
        <w:jc w:val="both"/>
      </w:pPr>
      <w:r>
        <w:rPr>
          <w:rFonts w:ascii="Times New Roman" w:hAnsi="Times New Roman"/>
          <w:b/>
          <w:i w:val="false"/>
          <w:color w:val="000000"/>
          <w:sz w:val="22"/>
        </w:rPr>
        <w:t>283—3.10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283—3.11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283—3.12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commission,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commission. The issuance of a declaratory order constitutes final commission action on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3/9/82, Notice 1/20/82—published 3/31/82, effective 5/5/82]</w:t>
      </w:r>
    </w:p>
    <w:p>
      <w:pPr>
        <w:spacing w:before="0" w:after="0"/>
        <w:ind w:left="120"/>
        <w:jc w:val="center"/>
      </w:pPr>
      <w:r>
        <w:rPr>
          <w:rFonts w:ascii="Times New Roman" w:hAnsi="Times New Roman"/>
          <w:b w:val="false"/>
          <w:i w:val="false"/>
          <w:color w:val="000000"/>
          <w:sz w:val="21"/>
        </w:rPr>
        <w:t>[Filed 4/16/87, Notice 2/11/87—published 5/6/87, effective 6/10/87]</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1490C</w:t>
      </w:r>
      <w:r>
        <w:rPr>
          <w:rFonts w:ascii="Times New Roman" w:hAnsi="Times New Roman"/>
          <w:b w:val="false"/>
          <w:i w:val="false"/>
          <w:color w:val="000000"/>
          <w:sz w:val="21"/>
        </w:rPr>
        <w:t xml:space="preserve"> (Notice ARC 1346C, IAB 2/19/14)</w:t>
      </w:r>
      <w:r>
        <w:rPr>
          <w:rFonts w:ascii="Times New Roman" w:hAnsi="Times New Roman"/>
          <w:b w:val="false"/>
          <w:i w:val="false"/>
          <w:color w:val="000000"/>
          <w:sz w:val="21"/>
        </w:rPr>
        <w:t>, IAB 6/11/14, effective 7/30/14]</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3.3.7.pdf" Type="http://schemas.openxmlformats.org/officeDocument/2006/relationships/hyperlink" Id="rId5"/>
    <Relationship TargetMode="External" Target="https://www.legis.iowa.gov/docs/iac/rule/283.3.6.pdf" Type="http://schemas.openxmlformats.org/officeDocument/2006/relationships/hyperlink" Id="rId6"/>
    <Relationship TargetMode="External" Target="https://www.legis.iowa.gov/docs/iac/rule/283.3.2.pdf" Type="http://schemas.openxmlformats.org/officeDocument/2006/relationships/hyperlink" Id="rId7"/>
    <Relationship TargetMode="External" Target="https://www.legis.iowa.gov/docs/iac/rule/283.3.8.pdf" Type="http://schemas.openxmlformats.org/officeDocument/2006/relationships/hyperlink" Id="rId8"/>
    <Relationship TargetMode="External" Target="https://www.legis.iowa.gov/docs/iac/rule/283.3.12.pdf" Type="http://schemas.openxmlformats.org/officeDocument/2006/relationships/hyperlink" Id="rId9"/>
    <Relationship TargetMode="External" Target="https://www.legis.iowa.gov/docs/ico/chapter/17A.9.pdf" Type="http://schemas.openxmlformats.org/officeDocument/2006/relationships/hyperlink" Id="rId10"/>
    <Relationship TargetMode="External" Target="https://www.legis.iowa.gov/docs/ico/chapter/17A.9.pdf" Type="http://schemas.openxmlformats.org/officeDocument/2006/relationships/hyperlink" Id="rId11"/>
    <Relationship TargetMode="External" Target="https://www.legis.iowa.gov/docs/iac/rule/283.4.2.pdf" Type="http://schemas.openxmlformats.org/officeDocument/2006/relationships/hyperlink" Id="rId12"/>
    <Relationship TargetMode="External" Target="https://www.legis.iowa.gov/docs/ico/chapter/17A.9.pdf" Type="http://schemas.openxmlformats.org/officeDocument/2006/relationships/hyperlink" Id="rId13"/>
    <Relationship TargetMode="External" Target="https://www.legis.iowa.gov/docs/ico/chapter/17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