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28</w:t>
      </w:r>
    </w:p>
    <w:p>
      <w:pPr>
        <w:spacing w:before="0" w:after="0"/>
        <w:ind w:left="120"/>
        <w:jc w:val="center"/>
      </w:pPr>
      <w:r>
        <w:rPr>
          <w:rFonts w:ascii="Times New Roman" w:hAnsi="Times New Roman"/>
          <w:b w:val="false"/>
          <w:i w:val="false"/>
          <w:color w:val="000000"/>
          <w:sz w:val="21"/>
        </w:rPr>
        <w:t>TEACH IOWA SCHOLAR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283—28.1</w:t>
      </w:r>
      <w:r>
        <w:rPr>
          <w:rFonts w:ascii="Times New Roman" w:hAnsi="Times New Roman"/>
          <w:b/>
          <w:i w:val="false"/>
          <w:color w:val="000000"/>
          <w:sz w:val="22"/>
        </w:rPr>
        <w:t xml:space="preserve">(261) </w:t>
      </w:r>
      <w:r>
        <w:rPr>
          <w:rFonts w:ascii="Times New Roman" w:hAnsi="Times New Roman"/>
          <w:b/>
          <w:i w:val="false"/>
          <w:color w:val="000000"/>
          <w:sz w:val="22"/>
        </w:rPr>
        <w:t xml:space="preserve">Teach Iowa scholar program. </w:t>
      </w:r>
      <w:r>
        <w:rPr>
          <w:rFonts w:ascii="Times New Roman" w:hAnsi="Times New Roman"/>
          <w:b w:val="false"/>
          <w:i w:val="false"/>
          <w:color w:val="000000"/>
          <w:sz w:val="22"/>
        </w:rPr>
        <w:t>The teach Iowa scholar program is a state-funded and administered benefit for high-achieving Iowans teaching in eligible teaching fields in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1572C</w:t>
      </w:r>
      <w:r>
        <w:rPr>
          <w:rFonts w:ascii="Times New Roman" w:hAnsi="Times New Roman"/>
          <w:b w:val="false"/>
          <w:i w:val="false"/>
          <w:color w:val="000000"/>
          <w:sz w:val="16"/>
        </w:rPr>
        <w:t>, IAB 8/20/14, effective 9/24/14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283—28.2</w:t>
      </w:r>
      <w:r>
        <w:rPr>
          <w:rFonts w:ascii="Times New Roman" w:hAnsi="Times New Roman"/>
          <w:b/>
          <w:i w:val="false"/>
          <w:color w:val="000000"/>
          <w:sz w:val="22"/>
        </w:rPr>
        <w:t xml:space="preserve">(261)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Iowa college student aid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school or agency” </w:t>
      </w:r>
      <w:r>
        <w:rPr>
          <w:rFonts w:ascii="Times New Roman" w:hAnsi="Times New Roman"/>
          <w:b w:val="false"/>
          <w:i w:val="false"/>
          <w:color w:val="000000"/>
          <w:sz w:val="22"/>
        </w:rPr>
        <w:t>means a public school district, area education agency, charter school, and accredited nonpublic school recognized and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student loan” </w:t>
      </w:r>
      <w:r>
        <w:rPr>
          <w:rFonts w:ascii="Times New Roman" w:hAnsi="Times New Roman"/>
          <w:b w:val="false"/>
          <w:i w:val="false"/>
          <w:color w:val="000000"/>
          <w:sz w:val="22"/>
        </w:rPr>
        <w:t xml:space="preserve">means a recipient’s total subsidized, unsubsidized, and consolidated Federal Stafford Loan amount under the Federal Family Education Loan Program, Federal Direct Loan Program, federal Graduate PLUS Loan, or federal Perkins Loan, including principal and interest. Only the outstanding portion of a federal consolidation loan that was used to repay an eligible subsidized or unsubsidized Federal Stafford Loan qualifies as an eligible student loan.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teaching field” </w:t>
      </w:r>
      <w:r>
        <w:rPr>
          <w:rFonts w:ascii="Times New Roman" w:hAnsi="Times New Roman"/>
          <w:b w:val="false"/>
          <w:i w:val="false"/>
          <w:color w:val="000000"/>
          <w:sz w:val="22"/>
        </w:rPr>
        <w:t>means hard-to-staff subjects as identified by the director of the department. In selecting hard-to-staff subjects, the department shall consider the varying regional needs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“Preparation program” </w:t>
      </w:r>
      <w:r>
        <w:rPr>
          <w:rFonts w:ascii="Times New Roman" w:hAnsi="Times New Roman"/>
          <w:b w:val="false"/>
          <w:i w:val="false"/>
          <w:color w:val="000000"/>
          <w:sz w:val="22"/>
        </w:rPr>
        <w:t>means the programs of practitioner preparation leading to licensure of teachers, administrators, and other professional school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“Teacher” </w:t>
      </w:r>
      <w:r>
        <w:rPr>
          <w:rFonts w:ascii="Times New Roman" w:hAnsi="Times New Roman"/>
          <w:b w:val="false"/>
          <w:i w:val="false"/>
          <w:color w:val="000000"/>
          <w:sz w:val="22"/>
        </w:rPr>
        <w:t xml:space="preserve">means an individual who holds a practitioner’s license or a statement of professional recognition issued under Iowa Code chapter </w:t>
      </w:r>
      <w:hyperlink r:id="rId5">
        <w:r>
          <w:rPr>
            <w:rStyle w:val="Hyperlink"/>
            <w:rFonts w:ascii="Times New Roman" w:hAnsi="Times New Roman"/>
            <w:b w:val="false"/>
            <w:i w:val="false"/>
            <w:color w:val="000000"/>
            <w:sz w:val="22"/>
          </w:rPr>
          <w:t>272</w:t>
        </w:r>
      </w:hyperlink>
      <w:r>
        <w:rPr>
          <w:rFonts w:ascii="Times New Roman" w:hAnsi="Times New Roman"/>
          <w:b w:val="false"/>
          <w:i w:val="false"/>
          <w:color w:val="000000"/>
          <w:sz w:val="22"/>
        </w:rPr>
        <w:t xml:space="preserve"> and who is employed in a nonadministrative position by a school district or area education agency pursuant to a contract issued by a board of directors under Iowa Code section </w:t>
      </w:r>
      <w:hyperlink r:id="rId6">
        <w:r>
          <w:rPr>
            <w:rStyle w:val="Hyperlink"/>
            <w:rFonts w:ascii="Times New Roman" w:hAnsi="Times New Roman"/>
            <w:b w:val="false"/>
            <w:i w:val="false"/>
            <w:color w:val="000000"/>
            <w:sz w:val="22"/>
          </w:rPr>
          <w:t>279.13</w:t>
        </w:r>
      </w:hyperlink>
      <w:r>
        <w:rPr>
          <w:rFonts w:ascii="Times New Roman" w:hAnsi="Times New Roman"/>
          <w:b w:val="false"/>
          <w:i w:val="false"/>
          <w:color w:val="000000"/>
          <w:sz w:val="22"/>
        </w:rPr>
        <w:t xml:space="preserve">. “Teacher” also includes a preschool teacher who is licensed by the board of educational examiners under Iowa Code chapter </w:t>
      </w:r>
      <w:hyperlink r:id="rId7">
        <w:r>
          <w:rPr>
            <w:rStyle w:val="Hyperlink"/>
            <w:rFonts w:ascii="Times New Roman" w:hAnsi="Times New Roman"/>
            <w:b w:val="false"/>
            <w:i w:val="false"/>
            <w:color w:val="000000"/>
            <w:sz w:val="22"/>
          </w:rPr>
          <w:t>272</w:t>
        </w:r>
      </w:hyperlink>
      <w:r>
        <w:rPr>
          <w:rFonts w:ascii="Times New Roman" w:hAnsi="Times New Roman"/>
          <w:b w:val="false"/>
          <w:i w:val="false"/>
          <w:color w:val="000000"/>
          <w:sz w:val="22"/>
        </w:rPr>
        <w:t xml:space="preserve"> and is employed by an eligible school or agency.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1572C</w:t>
      </w:r>
      <w:r>
        <w:rPr>
          <w:rFonts w:ascii="Times New Roman" w:hAnsi="Times New Roman"/>
          <w:b w:val="false"/>
          <w:i w:val="false"/>
          <w:color w:val="000000"/>
          <w:sz w:val="16"/>
        </w:rPr>
        <w:t>, IAB 8/20/14, effective 9/24/14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283—28.3</w:t>
      </w:r>
      <w:r>
        <w:rPr>
          <w:rFonts w:ascii="Times New Roman" w:hAnsi="Times New Roman"/>
          <w:b/>
          <w:i w:val="false"/>
          <w:color w:val="000000"/>
          <w:sz w:val="22"/>
        </w:rPr>
        <w:t xml:space="preserve">(261) </w:t>
      </w:r>
      <w:r>
        <w:rPr>
          <w:rFonts w:ascii="Times New Roman" w:hAnsi="Times New Roman"/>
          <w:b/>
          <w:i w:val="false"/>
          <w:color w:val="000000"/>
          <w:sz w:val="22"/>
        </w:rPr>
        <w:t xml:space="preserve">Eligibility requirements. </w:t>
      </w:r>
      <w:r>
        <w:rPr>
          <w:rFonts w:ascii="Times New Roman" w:hAnsi="Times New Roman"/>
          <w:b w:val="false"/>
          <w:i w:val="false"/>
          <w:color w:val="000000"/>
          <w:sz w:val="22"/>
        </w:rPr>
        <w:t>An applicant must: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28.3(1)</w:t>
      </w:r>
      <w:r>
        <w:rPr>
          <w:rFonts w:ascii="Times New Roman" w:hAnsi="Times New Roman"/>
          <w:b w:val="false"/>
          <w:i w:val="false"/>
          <w:color w:val="000000"/>
          <w:sz w:val="22"/>
        </w:rPr>
        <w:t> </w:t>
      </w:r>
      <w:r>
        <w:rPr>
          <w:rFonts w:ascii="Times New Roman" w:hAnsi="Times New Roman"/>
          <w:b w:val="false"/>
          <w:i w:val="false"/>
          <w:color w:val="000000"/>
          <w:sz w:val="22"/>
        </w:rPr>
        <w:t>Have graduated in the top 25 percent academically of students completing teacher preparation programs, as certified by the postsecondary institution offering the teacher preparation program from which the applicant graduates.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28.3(2)</w:t>
      </w:r>
      <w:r>
        <w:rPr>
          <w:rFonts w:ascii="Times New Roman" w:hAnsi="Times New Roman"/>
          <w:b w:val="false"/>
          <w:i w:val="false"/>
          <w:color w:val="000000"/>
          <w:sz w:val="22"/>
        </w:rPr>
        <w:t> </w:t>
      </w:r>
      <w:r>
        <w:rPr>
          <w:rFonts w:ascii="Times New Roman" w:hAnsi="Times New Roman"/>
          <w:b w:val="false"/>
          <w:i w:val="false"/>
          <w:color w:val="000000"/>
          <w:sz w:val="22"/>
        </w:rPr>
        <w:t>Be a teacher providing instruction on a full-time basis in an eligible teaching field or in a combination of eligible teaching fields in an eligible school or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28.3(3)</w:t>
      </w:r>
      <w:r>
        <w:rPr>
          <w:rFonts w:ascii="Times New Roman" w:hAnsi="Times New Roman"/>
          <w:b w:val="false"/>
          <w:i w:val="false"/>
          <w:color w:val="000000"/>
          <w:sz w:val="22"/>
        </w:rPr>
        <w:t> </w:t>
      </w:r>
      <w:r>
        <w:rPr>
          <w:rFonts w:ascii="Times New Roman" w:hAnsi="Times New Roman"/>
          <w:b w:val="false"/>
          <w:i w:val="false"/>
          <w:color w:val="000000"/>
          <w:sz w:val="22"/>
        </w:rPr>
        <w:t>File an application annually on or before the deadline established by the commission to be considered for funding.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28.3(4)</w:t>
      </w:r>
      <w:r>
        <w:rPr>
          <w:rFonts w:ascii="Times New Roman" w:hAnsi="Times New Roman"/>
          <w:b w:val="false"/>
          <w:i w:val="false"/>
          <w:color w:val="000000"/>
          <w:sz w:val="22"/>
        </w:rPr>
        <w:t> </w:t>
      </w:r>
      <w:r>
        <w:rPr>
          <w:rFonts w:ascii="Times New Roman" w:hAnsi="Times New Roman"/>
          <w:b w:val="false"/>
          <w:i w:val="false"/>
          <w:color w:val="000000"/>
          <w:sz w:val="22"/>
        </w:rPr>
        <w:t>Annually complete and return to the commission an affidavit of practice verifying annual employment in an eligible teaching field.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1572C</w:t>
      </w:r>
      <w:r>
        <w:rPr>
          <w:rFonts w:ascii="Times New Roman" w:hAnsi="Times New Roman"/>
          <w:b w:val="false"/>
          <w:i w:val="false"/>
          <w:color w:val="000000"/>
          <w:sz w:val="16"/>
        </w:rPr>
        <w:t>, IAB 8/20/14, effective 9/24/14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283—28.4</w:t>
      </w:r>
      <w:r>
        <w:rPr>
          <w:rFonts w:ascii="Times New Roman" w:hAnsi="Times New Roman"/>
          <w:b/>
          <w:i w:val="false"/>
          <w:color w:val="000000"/>
          <w:sz w:val="22"/>
        </w:rPr>
        <w:t xml:space="preserve">(261) </w:t>
      </w:r>
      <w:r>
        <w:rPr>
          <w:rFonts w:ascii="Times New Roman" w:hAnsi="Times New Roman"/>
          <w:b/>
          <w:i w:val="false"/>
          <w:color w:val="000000"/>
          <w:sz w:val="22"/>
        </w:rPr>
        <w:t xml:space="preserve">Awarding of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28.4(1)</w:t>
      </w:r>
      <w:r>
        <w:rPr>
          <w:rFonts w:ascii="Times New Roman" w:hAnsi="Times New Roman"/>
          <w:b w:val="false"/>
          <w:i w:val="false"/>
          <w:color w:val="000000"/>
          <w:sz w:val="22"/>
        </w:rPr>
        <w:t> </w:t>
      </w:r>
      <w:r>
        <w:rPr>
          <w:rFonts w:ascii="Times New Roman" w:hAnsi="Times New Roman"/>
          <w:b w:val="false"/>
          <w:i/>
          <w:color w:val="000000"/>
          <w:sz w:val="22"/>
        </w:rPr>
        <w:t xml:space="preserve">Selection criteria. </w:t>
      </w:r>
      <w:r>
        <w:rPr>
          <w:rFonts w:ascii="Times New Roman" w:hAnsi="Times New Roman"/>
          <w:b w:val="false"/>
          <w:i w:val="false"/>
          <w:color w:val="000000"/>
          <w:sz w:val="22"/>
        </w:rPr>
        <w:t>All applicants meeting the eligibility requirements will be considered for funding. In the event that all on-time applicants cannot be funded with the available appropriation, criteria for selection of recipients will be prioritized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Award renewal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Graduation date, grouped by academic year, with the most recent academic year graduates given priority;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Prioritized annual ranking of eligible teaching fields by the department, with the highest ranking fields being served first, if information is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Prioritized annual ranking of regional need within eligible teaching fields by the department, with the highest ranking regions being served first within each ranked eligible teaching field, if information is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Iowa resident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Date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28.4(2)</w:t>
      </w:r>
      <w:r>
        <w:rPr>
          <w:rFonts w:ascii="Times New Roman" w:hAnsi="Times New Roman"/>
          <w:b w:val="false"/>
          <w:i w:val="false"/>
          <w:color w:val="000000"/>
          <w:sz w:val="22"/>
        </w:rPr>
        <w:t> </w:t>
      </w:r>
      <w:r>
        <w:rPr>
          <w:rFonts w:ascii="Times New Roman" w:hAnsi="Times New Roman"/>
          <w:b w:val="false"/>
          <w:i/>
          <w:color w:val="000000"/>
          <w:sz w:val="22"/>
        </w:rPr>
        <w:t xml:space="preserve">Maximum award and extent of receipt.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maximum annual award shall not exceed $4,000.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recipient may receive up to $20,000 over a five-year period, beginning with the first year of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Designated applicants teaching hard-to-staff subjects shall not be impacted in subsequent years if the subject is no longer identified by the department as a hard-to-staff subject.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28.4(3)</w:t>
      </w:r>
      <w:r>
        <w:rPr>
          <w:rFonts w:ascii="Times New Roman" w:hAnsi="Times New Roman"/>
          <w:b w:val="false"/>
          <w:i w:val="false"/>
          <w:color w:val="000000"/>
          <w:sz w:val="22"/>
        </w:rPr>
        <w:t> </w:t>
      </w:r>
      <w:r>
        <w:rPr>
          <w:rFonts w:ascii="Times New Roman" w:hAnsi="Times New Roman"/>
          <w:b w:val="false"/>
          <w:i/>
          <w:color w:val="000000"/>
          <w:sz w:val="22"/>
        </w:rPr>
        <w:t xml:space="preserve">Disbursement of award. </w:t>
      </w:r>
      <w:r>
        <w:rPr>
          <w:rFonts w:ascii="Times New Roman" w:hAnsi="Times New Roman"/>
          <w:b w:val="false"/>
          <w:i w:val="false"/>
          <w:color w:val="000000"/>
          <w:sz w:val="22"/>
        </w:rPr>
        <w:t>The maximum annual award will be paid either directly to the teacher or to the teacher’s eligible student loan holder upon successful completion of each annual employment obligation. The commission will annually verify completion of the teacher’s employment obligation with the eligible school or agency prior to payment.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1572C</w:t>
      </w:r>
      <w:r>
        <w:rPr>
          <w:rFonts w:ascii="Times New Roman" w:hAnsi="Times New Roman"/>
          <w:b w:val="false"/>
          <w:i w:val="false"/>
          <w:color w:val="000000"/>
          <w:sz w:val="16"/>
        </w:rPr>
        <w:t>, IAB 8/20/14, effective 9/24/14</w:t>
      </w:r>
      <w:r>
        <w:rPr>
          <w:rFonts w:ascii="Times New Roman" w:hAnsi="Times New Roman"/>
          <w:b w:val="false"/>
          <w:i w:val="false"/>
          <w:color w:val="000000"/>
          <w:sz w:val="16"/>
        </w:rPr>
        <w:t xml:space="preserve">; </w:t>
      </w:r>
      <w:r>
        <w:rPr>
          <w:rFonts w:ascii="Times New Roman" w:hAnsi="Times New Roman"/>
          <w:b/>
          <w:i w:val="false"/>
          <w:color w:val="000000"/>
          <w:sz w:val="16"/>
        </w:rPr>
        <w:t>ARC 2209C</w:t>
      </w:r>
      <w:r>
        <w:rPr>
          <w:rFonts w:ascii="Times New Roman" w:hAnsi="Times New Roman"/>
          <w:b w:val="false"/>
          <w:i w:val="false"/>
          <w:color w:val="000000"/>
          <w:sz w:val="16"/>
        </w:rPr>
        <w:t>, IAB 10/28/15, effective 12/2/15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283—28.5</w:t>
      </w:r>
      <w:r>
        <w:rPr>
          <w:rFonts w:ascii="Times New Roman" w:hAnsi="Times New Roman"/>
          <w:b/>
          <w:i w:val="false"/>
          <w:color w:val="000000"/>
          <w:sz w:val="22"/>
        </w:rPr>
        <w:t xml:space="preserve">(261) </w:t>
      </w:r>
      <w:r>
        <w:rPr>
          <w:rFonts w:ascii="Times New Roman" w:hAnsi="Times New Roman"/>
          <w:b/>
          <w:i w:val="false"/>
          <w:color w:val="000000"/>
          <w:sz w:val="22"/>
        </w:rPr>
        <w:t xml:space="preserve">Award cancellation.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28.5(1)</w:t>
      </w:r>
      <w:r>
        <w:rPr>
          <w:rFonts w:ascii="Times New Roman" w:hAnsi="Times New Roman"/>
          <w:b w:val="false"/>
          <w:i w:val="false"/>
          <w:color w:val="000000"/>
          <w:sz w:val="22"/>
        </w:rPr>
        <w:t> </w:t>
      </w:r>
      <w:r>
        <w:rPr>
          <w:rFonts w:ascii="Times New Roman" w:hAnsi="Times New Roman"/>
          <w:b w:val="false"/>
          <w:i w:val="false"/>
          <w:color w:val="000000"/>
          <w:sz w:val="22"/>
        </w:rPr>
        <w:t>The teacher must notify the commission within 30 days following termination or change of employment in an eligible teaching field or an eligible school or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28.5(2)</w:t>
      </w:r>
      <w:r>
        <w:rPr>
          <w:rFonts w:ascii="Times New Roman" w:hAnsi="Times New Roman"/>
          <w:b w:val="false"/>
          <w:i w:val="false"/>
          <w:color w:val="000000"/>
          <w:sz w:val="22"/>
        </w:rPr>
        <w:t> </w:t>
      </w:r>
      <w:r>
        <w:rPr>
          <w:rFonts w:ascii="Times New Roman" w:hAnsi="Times New Roman"/>
          <w:b w:val="false"/>
          <w:i w:val="false"/>
          <w:color w:val="000000"/>
          <w:sz w:val="22"/>
        </w:rPr>
        <w:t>The teacher is responsible for notifying the commission immediately of a change in contact information including, but not limited to, name, telephone number and e-mail address.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1572C</w:t>
      </w:r>
      <w:r>
        <w:rPr>
          <w:rFonts w:ascii="Times New Roman" w:hAnsi="Times New Roman"/>
          <w:b w:val="false"/>
          <w:i w:val="false"/>
          <w:color w:val="000000"/>
          <w:sz w:val="16"/>
        </w:rPr>
        <w:t>, IAB 8/20/14, effective 9/24/14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8">
        <w:r>
          <w:rPr>
            <w:rStyle w:val="Hyperlink"/>
            <w:rFonts w:ascii="Times New Roman" w:hAnsi="Times New Roman"/>
            <w:b w:val="false"/>
            <w:i w:val="false"/>
            <w:color w:val="000000"/>
            <w:sz w:val="22"/>
          </w:rPr>
          <w:t>261.110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1572C</w:t>
      </w:r>
      <w:r>
        <w:rPr>
          <w:rFonts w:ascii="Times New Roman" w:hAnsi="Times New Roman"/>
          <w:b w:val="false"/>
          <w:i w:val="false"/>
          <w:color w:val="000000"/>
          <w:sz w:val="21"/>
        </w:rPr>
        <w:t xml:space="preserve"> (Notice ARC 1419C, IAB 4/16/14)</w:t>
      </w:r>
      <w:r>
        <w:rPr>
          <w:rFonts w:ascii="Times New Roman" w:hAnsi="Times New Roman"/>
          <w:b w:val="false"/>
          <w:i w:val="false"/>
          <w:color w:val="000000"/>
          <w:sz w:val="21"/>
        </w:rPr>
        <w:t>, IAB 8/20/14, effective 9/24/14]</w:t>
      </w:r>
    </w:p>
    <w:p>
      <w:pPr>
        <w:spacing w:before="0" w:after="0"/>
        <w:ind w:left="120"/>
        <w:jc w:val="center"/>
      </w:pPr>
      <w:r>
        <w:rPr>
          <w:rFonts w:ascii="Times New Roman" w:hAnsi="Times New Roman"/>
          <w:b w:val="false"/>
          <w:i w:val="false"/>
          <w:color w:val="000000"/>
          <w:sz w:val="21"/>
        </w:rPr>
        <w:t>[Filed ARC 2209C</w:t>
      </w:r>
      <w:r>
        <w:rPr>
          <w:rFonts w:ascii="Times New Roman" w:hAnsi="Times New Roman"/>
          <w:b w:val="false"/>
          <w:i w:val="false"/>
          <w:color w:val="000000"/>
          <w:sz w:val="21"/>
        </w:rPr>
        <w:t xml:space="preserve"> (Notice ARC 2110C, IAB 8/19/15)</w:t>
      </w:r>
      <w:r>
        <w:rPr>
          <w:rFonts w:ascii="Times New Roman" w:hAnsi="Times New Roman"/>
          <w:b w:val="false"/>
          <w:i w:val="false"/>
          <w:color w:val="000000"/>
          <w:sz w:val="21"/>
        </w:rPr>
        <w:t>, IAB 10/28/15, effective 12/2/15]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2.pdf" Type="http://schemas.openxmlformats.org/officeDocument/2006/relationships/hyperlink" Id="rId5"/>
    <Relationship TargetMode="External" Target="https://www.legis.iowa.gov/docs/ico/chapter/279.13.pdf" Type="http://schemas.openxmlformats.org/officeDocument/2006/relationships/hyperlink" Id="rId6"/>
    <Relationship TargetMode="External" Target="https://www.legis.iowa.gov/docs/ico/chapter/272.pdf" Type="http://schemas.openxmlformats.org/officeDocument/2006/relationships/hyperlink" Id="rId7"/>
    <Relationship TargetMode="External" Target="https://www.legis.iowa.gov/docs/ico/chapter/261.110.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