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RURAL VETERINARIAN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283—27.1</w:t>
      </w:r>
      <w:r>
        <w:rPr>
          <w:rFonts w:ascii="Times New Roman" w:hAnsi="Times New Roman"/>
          <w:b/>
          <w:i w:val="false"/>
          <w:color w:val="000000"/>
          <w:sz w:val="22"/>
        </w:rPr>
        <w:t xml:space="preserve">(261) </w:t>
      </w:r>
      <w:r>
        <w:rPr>
          <w:rFonts w:ascii="Times New Roman" w:hAnsi="Times New Roman"/>
          <w:b/>
          <w:i w:val="false"/>
          <w:color w:val="000000"/>
          <w:sz w:val="22"/>
        </w:rPr>
        <w:t xml:space="preserve">Rural veterinarian loan repayment program. </w:t>
      </w:r>
      <w:r>
        <w:rPr>
          <w:rFonts w:ascii="Times New Roman" w:hAnsi="Times New Roman"/>
          <w:b w:val="false"/>
          <w:i w:val="false"/>
          <w:color w:val="000000"/>
          <w:sz w:val="22"/>
        </w:rPr>
        <w:t>The rural veterinarian loan repayment program is a state-supported and state-administered loan repayment program established to repay the eligible loans of veterinarians who agree to practice in service commitment areas or in veterinary shortage areas for four consecutive years and meet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veterinarian’s total subsidized, unsubsidized, and consolidated Federal Stafford Loan amount under the Federal Family Education Loan Program, Federal Direct Loan Program, or federal Graduate PLUS Loan, including principal and interest. Only the outstanding portion of a federal consolidation loan that was used to repay an eligible subsidized or unsubsidized Federal Stafford Loan qualifies for loan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 xml:space="preserve">means a college or university that offers a veterinary medicine degree program; is eligible to participate in federal student aid programs authorized under </w:t>
      </w:r>
      <w:r>
        <w:rPr>
          <w:rFonts w:ascii="Times New Roman" w:hAnsi="Times New Roman"/>
          <w:b w:val="false"/>
          <w:i w:val="false"/>
          <w:color w:val="000000"/>
          <w:sz w:val="22"/>
        </w:rPr>
        <w:t>Title IV of the federal Higher Education Act of 1965</w:t>
      </w:r>
      <w:r>
        <w:rPr>
          <w:rFonts w:ascii="Times New Roman" w:hAnsi="Times New Roman"/>
          <w:b w:val="false"/>
          <w:i w:val="false"/>
          <w:color w:val="000000"/>
          <w:sz w:val="22"/>
        </w:rPr>
        <w:t>, as amended; and is accredited by the American Veterinary Medical Association Council on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supply veterinary medicine” </w:t>
      </w:r>
      <w:r>
        <w:rPr>
          <w:rFonts w:ascii="Times New Roman" w:hAnsi="Times New Roman"/>
          <w:b w:val="false"/>
          <w:i w:val="false"/>
          <w:color w:val="000000"/>
          <w:sz w:val="22"/>
        </w:rPr>
        <w:t>means corporate and private practices devoted to food animal medicine, mixed animal medicine, food safety, epidemiology, public health, animal health, and other public and private practices that contribute to the production of a safe and wholesome food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veterinarian can receive after completing all obligations under the rural veterinarian loan repayment program, not to exceed a total of $60,000. The maximum award can be applied only to eligible loans; thus, payments cannot exceed the outstanding eligible loan balance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 xml:space="preserve">means an Iowa city with a population of less than 26,000 that is located more than 20 miles from a city with a population of 50,000 or more. If a veterinarian is not working in a veterinary shortage area but is working in a service commitment area, the veterinarian must contract with the service commitment area to ensure the service commitment area provides a nonrefundable contribution equivalent to 12.5 percent of the veterinarian’s eligible loan balance for deposit in the rural veterinarian trust fund. The veterinarian’s eligible loan balance will be calculated after the program agreement is signed. Payment of the nonrefundable contribution to the trust fund can be made by, but is not limited to, the following organizations: community agencies, medical groups, municipalities, community foundations, local government entities, or other community entities. Locations and distances between cities will be consistently measured and verified by calculating the shortest travel distance on paved 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“Veterinarian” </w:t>
      </w:r>
      <w:r>
        <w:rPr>
          <w:rFonts w:ascii="Times New Roman" w:hAnsi="Times New Roman"/>
          <w:b w:val="false"/>
          <w:i w:val="false"/>
          <w:color w:val="000000"/>
          <w:sz w:val="22"/>
        </w:rPr>
        <w:t xml:space="preserve">means an individual who holds a practitioner’s license pursuant to Iowa Code chapter </w:t>
      </w:r>
      <w:hyperlink r:id="rId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is engaged in the practice of veterinary medicine in a service commitment area or a veterinary shortage area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“Veterinary shortage area” </w:t>
      </w:r>
      <w:r>
        <w:rPr>
          <w:rFonts w:ascii="Times New Roman" w:hAnsi="Times New Roman"/>
          <w:b w:val="false"/>
          <w:i w:val="false"/>
          <w:color w:val="000000"/>
          <w:sz w:val="22"/>
        </w:rPr>
        <w:t xml:space="preserve">means a designated veterinary service shortage in Iowa recommended for designation in accordance with the federal National Veterinary Medical Service Act and published by the United States Department of Agriculture. Data from the most recent year for which data is available will be used to award funds to new eligible applicants. In addition to the veterinary shortage areas published by the United States Department of Agriculture, the state veterinarian may designate additional veterinary shortage areas in Iowa. All veterinary shortage areas designated in a given year will be published by the commission prior to soliciting applications from eligible applicants.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 xml:space="preserve">An individual who is enrolled in the final year of a veterinary degree program at an eligible university or who has received a veterinary medicine degree from an eligible university within the past five years may sign a program agreement. The individual must commit to meeting the eligibility requirements described in rule </w:t>
      </w:r>
      <w:hyperlink r:id="rId6">
        <w:r>
          <w:rPr>
            <w:rStyle w:val="Hyperlink"/>
            <w:rFonts w:ascii="Times New Roman" w:hAnsi="Times New Roman"/>
            <w:b w:val="false"/>
            <w:i w:val="false"/>
            <w:color w:val="000000"/>
            <w:sz w:val="22"/>
          </w:rPr>
          <w:t>283—27.4</w:t>
        </w:r>
      </w:hyperlink>
      <w:r>
        <w:rPr>
          <w:rFonts w:ascii="Times New Roman" w:hAnsi="Times New Roman"/>
          <w:b w:val="false"/>
          <w:i w:val="false"/>
          <w:color w:val="000000"/>
          <w:sz w:val="22"/>
        </w:rPr>
        <w:t>(261).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283—27.4</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an eligible veterinarian under the program, the eligible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application and sign a program agreement by the date(s)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doctor of veterinary medicine degree, or the equivalent, at an eligible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year of completing a doctor of veterinary medicine degree, or the equivalent, or signing a program agreement, whichever is most recent, an eligible applicant must have a permanent license to practice veterinary medicine under Iowa Code chapter </w:t>
      </w:r>
      <w:hyperlink r:id="rId7">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engage in full-time practice as a veterinarian in a service commitment area or veterinary shortage area in Iowa.</w:t>
      </w:r>
    </w:p>
    <w:p>
      <w:pPr>
        <w:spacing w:before="0" w:after="0"/>
        <w:ind w:left="120"/>
        <w:jc w:val="both"/>
      </w:pPr>
      <w:r>
        <w:rPr>
          <w:rFonts w:ascii="Times New Roman" w:hAnsi="Times New Roman"/>
          <w:b w:val="false"/>
          <w:i w:val="false"/>
          <w:color w:val="000000"/>
          <w:sz w:val="22"/>
        </w:rPr>
        <w:t>Prior to engaging in the practice of veterinary medicine in a service commitment area or veterinary shortage area, the veterinarian must notify the commission of the service commitment area or veterinary shortage area in which the veterinarian will be engaged in veterinary practice, and the commission will verify the eligibility of the service commitment area or veterinary shortage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Eligible applicants not working in a veterinary shortage area. Prior to or upon engagement in full-time practice in a service commitment area, the veterinarian must contract with a service commitment area to provide a nonrefundable contribution for deposit in the rural veterinarian trust fund. The nonrefundable contribution must be received by the commission from a service commitment area prior to payment of any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val="false"/>
          <w:color w:val="000000"/>
          <w:sz w:val="22"/>
        </w:rPr>
        <w:t>Failure by the applicant to meet all eligibility requirements under this rule and in the program agreement will result in forfeiture of all remaining unpaid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283—27.5</w:t>
      </w:r>
      <w:r>
        <w:rPr>
          <w:rFonts w:ascii="Times New Roman" w:hAnsi="Times New Roman"/>
          <w:b/>
          <w:i w:val="false"/>
          <w:color w:val="000000"/>
          <w:sz w:val="22"/>
        </w:rPr>
        <w:t xml:space="preserve">(261) </w:t>
      </w:r>
      <w:r>
        <w:rPr>
          <w:rFonts w:ascii="Times New Roman" w:hAnsi="Times New Roman"/>
          <w:b/>
          <w:i w:val="false"/>
          <w:color w:val="000000"/>
          <w:sz w:val="22"/>
        </w:rPr>
        <w:t xml:space="preserve">Priority for program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val="false"/>
          <w:color w:val="000000"/>
          <w:sz w:val="22"/>
        </w:rPr>
        <w:t>In the event that all on-time eligible applicants cannot be funded with the available appropriation, program agreements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practice as private practice food supply veterinarians in a veterinary shortage area and have graduated from an Iowa high school or completed private instruction under Iowa Code chapter </w:t>
      </w:r>
      <w:hyperlink r:id="rId8">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followed by eligible applicants who will practice as private practice food supply veterinarians in a veterinary shortage area and have not graduated from an Iowa high school or completed private instruction under Iowa Code chapter </w:t>
      </w:r>
      <w:hyperlink r:id="rId9">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practice as private practice food supply veterinarians in a service commitment area and have graduated from an Iowa high school or completed private instruction under Iowa Code chapter </w:t>
      </w:r>
      <w:hyperlink r:id="rId10">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followed by eligible applicants who will practice as private practice food supply veterinarians in a service commitment area and have not graduated from an Iowa high school or completed private instruction under Iowa Code chapter </w:t>
      </w:r>
      <w:hyperlink r:id="rId11">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who will practice as a veterinarian in a service commitment area and have graduated from an Iowa high school or completed private instruction under Iowa Code chapter </w:t>
      </w:r>
      <w:hyperlink r:id="rId12">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followed by eligible applicants who will practice as veterinarians in a service commitment area and have not graduated from an Iowa high school or completed private instruction under Iowa Code chapter </w:t>
      </w:r>
      <w:hyperlink r:id="rId1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all on-time eligible applicants within a priority group described in </w:t>
      </w:r>
      <w:hyperlink r:id="rId14">
        <w:r>
          <w:rPr>
            <w:rStyle w:val="Hyperlink"/>
            <w:rFonts w:ascii="Times New Roman" w:hAnsi="Times New Roman"/>
            <w:b w:val="false"/>
            <w:i w:val="false"/>
            <w:color w:val="000000"/>
            <w:sz w:val="22"/>
          </w:rPr>
          <w:t>subrule 27.5(1)</w:t>
        </w:r>
      </w:hyperlink>
      <w:r>
        <w:rPr>
          <w:rFonts w:ascii="Times New Roman" w:hAnsi="Times New Roman"/>
          <w:b w:val="false"/>
          <w:i w:val="false"/>
          <w:color w:val="000000"/>
          <w:sz w:val="22"/>
        </w:rPr>
        <w:t xml:space="preserve"> cannot be funded, eligible applicants within that priority group will be prioritized according to the date the application was received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283—27.6</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val="false"/>
          <w:color w:val="000000"/>
          <w:sz w:val="22"/>
        </w:rPr>
        <w:t>The maximum award will be paid to the veterinarian’s eligible loan holder in four equal installments, upon successful completion of each of four 12-month practice obligations. Failure to complete all, or any portion, of the four-consecutive-year practice obligation will result in the forfeiture of all remaining unpaid payments. A veterinarian who fails to meet the requirements of these rules may also be subject to repayment of moneys advanced by the service commitment area or veterinary shortage area as provided in any contract between the veterinarian and the service commitment area or veterinary shortage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must annually complete and return to the commission an affidavit of completion of practice in a service commitment area or veterinary shortage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283—27.7</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or veterinary shortage area. </w:t>
      </w:r>
      <w:r>
        <w:rPr>
          <w:rFonts w:ascii="Times New Roman" w:hAnsi="Times New Roman"/>
          <w:b w:val="false"/>
          <w:i w:val="false"/>
          <w:color w:val="000000"/>
          <w:sz w:val="22"/>
        </w:rPr>
        <w:t>The commission may waive the requirement that the veterinarian practice in the same service commitment area or veterinary shortage area for four years as long as the veterinarian continues to practice in a service commitment area or veterinary shortage area. The veterinarian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27.7(2)</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veterinarian practice. </w:t>
      </w:r>
      <w:r>
        <w:rPr>
          <w:rFonts w:ascii="Times New Roman" w:hAnsi="Times New Roman"/>
          <w:b w:val="false"/>
          <w:i w:val="false"/>
          <w:color w:val="000000"/>
          <w:sz w:val="22"/>
        </w:rPr>
        <w:t xml:space="preserve">The veterinarian obligation to engage in practice in accordance with rule </w:t>
      </w:r>
      <w:hyperlink r:id="rId15">
        <w:r>
          <w:rPr>
            <w:rStyle w:val="Hyperlink"/>
            <w:rFonts w:ascii="Times New Roman" w:hAnsi="Times New Roman"/>
            <w:b w:val="false"/>
            <w:i w:val="false"/>
            <w:color w:val="000000"/>
            <w:sz w:val="22"/>
          </w:rPr>
          <w:t>283—27.4</w:t>
        </w:r>
      </w:hyperlink>
      <w:r>
        <w:rPr>
          <w:rFonts w:ascii="Times New Roman" w:hAnsi="Times New Roman"/>
          <w:b w:val="false"/>
          <w:i w:val="false"/>
          <w:color w:val="000000"/>
          <w:sz w:val="22"/>
        </w:rPr>
        <w:t>(261) may be postponed for no more than two years from the time full-time practice was to commence. The veterinarian must request a waiver from the commission in writing for one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duty service in the armed forces, the armed forces military reserve, or the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Volunteers in Service to America or the federal Peace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rural service commitment to the United States Public Health Service Commissioned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period of religious missionary work conducted by an organization exempt from federal income taxation pursuant to </w:t>
      </w:r>
      <w:r>
        <w:rPr>
          <w:rFonts w:ascii="Times New Roman" w:hAnsi="Times New Roman"/>
          <w:b w:val="false"/>
          <w:i w:val="false"/>
          <w:color w:val="000000"/>
          <w:sz w:val="22"/>
        </w:rPr>
        <w:t>Section 501(c)(3)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veterinarian obligation to engage in practice in accordance with rule </w:t>
      </w:r>
      <w:hyperlink r:id="rId16">
        <w:r>
          <w:rPr>
            <w:rStyle w:val="Hyperlink"/>
            <w:rFonts w:ascii="Times New Roman" w:hAnsi="Times New Roman"/>
            <w:b w:val="false"/>
            <w:i w:val="false"/>
            <w:color w:val="000000"/>
            <w:sz w:val="22"/>
          </w:rPr>
          <w:t>283—27.4</w:t>
        </w:r>
      </w:hyperlink>
      <w:r>
        <w:rPr>
          <w:rFonts w:ascii="Times New Roman" w:hAnsi="Times New Roman"/>
          <w:b w:val="false"/>
          <w:i w:val="false"/>
          <w:color w:val="000000"/>
          <w:sz w:val="22"/>
        </w:rPr>
        <w:t>(261) may be postponed for a period exceeding two years for any period of temporary medical incapacity, including leave approved under the Family and Medical Leave Act, during which the veterinarian is unable to engage in full-time practice. The veterinarian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veterinarian practice obligation. </w:t>
      </w:r>
      <w:r>
        <w:rPr>
          <w:rFonts w:ascii="Times New Roman" w:hAnsi="Times New Roman"/>
          <w:b w:val="false"/>
          <w:i w:val="false"/>
          <w:color w:val="000000"/>
          <w:sz w:val="22"/>
        </w:rPr>
        <w:t>All obligations under the rural veterinarian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283—27.8</w:t>
      </w:r>
      <w:r>
        <w:rPr>
          <w:rFonts w:ascii="Times New Roman" w:hAnsi="Times New Roman"/>
          <w:b/>
          <w:i w:val="false"/>
          <w:color w:val="000000"/>
          <w:sz w:val="22"/>
        </w:rPr>
        <w:t xml:space="preserve">(261) </w:t>
      </w:r>
      <w:r>
        <w:rPr>
          <w:rFonts w:ascii="Times New Roman" w:hAnsi="Times New Roman"/>
          <w:b/>
          <w:i w:val="false"/>
          <w:color w:val="000000"/>
          <w:sz w:val="22"/>
        </w:rPr>
        <w:t xml:space="preserve">Loan repayment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27.8(1)</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termination of practice as a veterinarian in a service commitment area or a veterinary shortage area, the applicant must notify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27.8(2)</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notifying the commission immediately of a change in contact information including, but not limited to, name, telephone number, email address, and location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283—27.9</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who is in default on a Federal Stafford Loan, Grad PLUS Loan, SLS Loan, Perkins/National Direct/National Defense Student Loan, Health Professions Student Loan (HPSL), or Health Education Assistance Loan (HEAL) or who owes a repayment on any Title IV grant assistance or state award shall be ineligible for loan repayment. Eligibility may be reinstated upon payment in full of the delinquent obligation or by commission ruling on the basis of adequate extenuating evidence presented in appeal under the procedures set forth in </w:t>
      </w:r>
      <w:hyperlink r:id="rId17">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val="false"/>
          <w:color w:val="000000"/>
          <w:sz w:val="22"/>
        </w:rPr>
        <w:t>A veterinarian who participated in and received loan repayment awards through the veterinary medicine loan repayment program administered by the United States Department of Agriculture is ineligible to enter into a program agreement or receive loan repayment benefits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5224C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261.120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2020 Iowa Acts, Senate File 2398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5224C</w:t>
      </w:r>
      <w:r>
        <w:rPr>
          <w:rFonts w:ascii="Times New Roman" w:hAnsi="Times New Roman"/>
          <w:b w:val="false"/>
          <w:i w:val="false"/>
          <w:color w:val="000000"/>
          <w:sz w:val="21"/>
        </w:rPr>
        <w:t xml:space="preserve"> (Notice ARC 5123C, IAB 8/12/20)</w:t>
      </w:r>
      <w:r>
        <w:rPr>
          <w:rFonts w:ascii="Times New Roman" w:hAnsi="Times New Roman"/>
          <w:b w:val="false"/>
          <w:i w:val="false"/>
          <w:color w:val="000000"/>
          <w:sz w:val="21"/>
        </w:rPr>
        <w:t>, IAB 10/7/20, effective 11/11/20]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pdf" Type="http://schemas.openxmlformats.org/officeDocument/2006/relationships/hyperlink" Id="rId5"/>
    <Relationship TargetMode="External" Target="https://www.legis.iowa.gov/docs/iac/rule/283.27.4.pdf" Type="http://schemas.openxmlformats.org/officeDocument/2006/relationships/hyperlink" Id="rId6"/>
    <Relationship TargetMode="External" Target="https://www.legis.iowa.gov/docs/ico/chapter/169.pdf" Type="http://schemas.openxmlformats.org/officeDocument/2006/relationships/hyperlink" Id="rId7"/>
    <Relationship TargetMode="External" Target="https://www.legis.iowa.gov/docs/ico/chapter/299A.pdf" Type="http://schemas.openxmlformats.org/officeDocument/2006/relationships/hyperlink" Id="rId8"/>
    <Relationship TargetMode="External" Target="https://www.legis.iowa.gov/docs/ico/chapter/299A.pdf" Type="http://schemas.openxmlformats.org/officeDocument/2006/relationships/hyperlink" Id="rId9"/>
    <Relationship TargetMode="External" Target="https://www.legis.iowa.gov/docs/ico/chapter/299A.pdf" Type="http://schemas.openxmlformats.org/officeDocument/2006/relationships/hyperlink" Id="rId10"/>
    <Relationship TargetMode="External" Target="https://www.legis.iowa.gov/docs/ico/chapter/299A.pdf" Type="http://schemas.openxmlformats.org/officeDocument/2006/relationships/hyperlink" Id="rId11"/>
    <Relationship TargetMode="External" Target="https://www.legis.iowa.gov/docs/ico/chapter/299A.pdf" Type="http://schemas.openxmlformats.org/officeDocument/2006/relationships/hyperlink" Id="rId12"/>
    <Relationship TargetMode="External" Target="https://www.legis.iowa.gov/docs/ico/chapter/299A.pdf" Type="http://schemas.openxmlformats.org/officeDocument/2006/relationships/hyperlink" Id="rId13"/>
    <Relationship TargetMode="External" Target="https://www.legis.iowa.gov/docs/iac/rule/283.27.5.pdf" Type="http://schemas.openxmlformats.org/officeDocument/2006/relationships/hyperlink" Id="rId14"/>
    <Relationship TargetMode="External" Target="https://www.legis.iowa.gov/docs/iac/rule/283.27.4.pdf" Type="http://schemas.openxmlformats.org/officeDocument/2006/relationships/hyperlink" Id="rId15"/>
    <Relationship TargetMode="External" Target="https://www.legis.iowa.gov/docs/iac/rule/283.27.4.pdf" Type="http://schemas.openxmlformats.org/officeDocument/2006/relationships/hyperlink" Id="rId16"/>
    <Relationship TargetMode="External" Target="https://www.legis.iowa.gov/docs/iac/chapter/283.4.pdf" Type="http://schemas.openxmlformats.org/officeDocument/2006/relationships/hyperlink" Id="rId17"/>
    <Relationship TargetMode="External" Target="https://www.legis.iowa.gov/docs/iac/chapter/283.5.pdf" Type="http://schemas.openxmlformats.org/officeDocument/2006/relationships/hyperlink" Id="rId18"/>
    <Relationship TargetMode="External" Target="https://www.legis.iowa.gov/docs/ico/chapter/261.120.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