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HEALTH CARE AWARD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283—26.1</w:t>
      </w:r>
      <w:r>
        <w:rPr>
          <w:rFonts w:ascii="Times New Roman" w:hAnsi="Times New Roman"/>
          <w:b/>
          <w:i w:val="false"/>
          <w:color w:val="000000"/>
          <w:sz w:val="22"/>
        </w:rPr>
        <w:t xml:space="preserve">(261) </w:t>
      </w:r>
      <w:r>
        <w:rPr>
          <w:rFonts w:ascii="Times New Roman" w:hAnsi="Times New Roman"/>
          <w:b/>
          <w:i w:val="false"/>
          <w:color w:val="000000"/>
          <w:sz w:val="22"/>
        </w:rPr>
        <w:t xml:space="preserve">Health care award program. </w:t>
      </w:r>
      <w:r>
        <w:rPr>
          <w:rFonts w:ascii="Times New Roman" w:hAnsi="Times New Roman"/>
          <w:b w:val="false"/>
          <w:i w:val="false"/>
          <w:color w:val="000000"/>
          <w:sz w:val="22"/>
        </w:rPr>
        <w:t>The health care award program is a state-supported and state-administered program established to provide financial awards to nurse educators teaching at eligible Iowa colleges and universities, as well as applicants who agree to practice as registered nurses, advanced registered nurse practitioners, or physician assistants in service commitment areas for five consecutive years, and who meet the requirements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4186C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6889C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283—26.2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means an individual who graduated from an accredited graduate or postgraduate advanced practice educational program, is licensed by the board of nursing as a registered nurse, is licensed by the board of nursing as an advanced registered nurse practitioner, and is employed as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educator” </w:t>
      </w:r>
      <w:r>
        <w:rPr>
          <w:rFonts w:ascii="Times New Roman" w:hAnsi="Times New Roman"/>
          <w:b w:val="false"/>
          <w:i w:val="false"/>
          <w:color w:val="000000"/>
          <w:sz w:val="22"/>
        </w:rPr>
        <w:t xml:space="preserve">means a registered nurse who holds a master’s or doctorate degree and is employed by an Iowa community college, an accredited private institution defined in Iowa Code section </w:t>
      </w:r>
      <w:hyperlink r:id="rId5">
        <w:r>
          <w:rPr>
            <w:rStyle w:val="Hyperlink"/>
            <w:rFonts w:ascii="Times New Roman" w:hAnsi="Times New Roman"/>
            <w:b w:val="false"/>
            <w:i w:val="false"/>
            <w:color w:val="000000"/>
            <w:sz w:val="22"/>
          </w:rPr>
          <w:t>261.9</w:t>
        </w:r>
      </w:hyperlink>
      <w:r>
        <w:rPr>
          <w:rFonts w:ascii="Times New Roman" w:hAnsi="Times New Roman"/>
          <w:b w:val="false"/>
          <w:i w:val="false"/>
          <w:color w:val="000000"/>
          <w:sz w:val="22"/>
        </w:rPr>
        <w:t xml:space="preserve">, or an institution of higher learning governed by the state board of regents as a faculty member who teaches nursing as provided in </w:t>
      </w:r>
      <w:hyperlink r:id="rId6">
        <w:r>
          <w:rPr>
            <w:rStyle w:val="Hyperlink"/>
            <w:rFonts w:ascii="Times New Roman" w:hAnsi="Times New Roman"/>
            <w:b w:val="false"/>
            <w:i w:val="false"/>
            <w:color w:val="000000"/>
            <w:sz w:val="22"/>
          </w:rPr>
          <w:t>655—Chapter 2</w:t>
        </w:r>
      </w:hyperlink>
      <w:r>
        <w:rPr>
          <w:rFonts w:ascii="Times New Roman" w:hAnsi="Times New Roman"/>
          <w:b w:val="false"/>
          <w:i w:val="false"/>
          <w:color w:val="000000"/>
          <w:sz w:val="22"/>
        </w:rPr>
        <w:t xml:space="preserve"> at a nursing program approved by the board of nursing pursuant to Iowa Code section </w:t>
      </w:r>
      <w:hyperlink r:id="rId7">
        <w:r>
          <w:rPr>
            <w:rStyle w:val="Hyperlink"/>
            <w:rFonts w:ascii="Times New Roman" w:hAnsi="Times New Roman"/>
            <w:b w:val="false"/>
            <w:i w:val="false"/>
            <w:color w:val="000000"/>
            <w:sz w:val="22"/>
          </w:rPr>
          <w:t>152.5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an individual who graduated with a master’s degree, holds a practitioner’s license to practice as a physician assistant pursuant to Iowa Code chapter </w:t>
      </w:r>
      <w:hyperlink r:id="rId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and is employed as a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means a nurse who is licensed by the board of nursing as a registered nurse and is employed as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commitment area” </w:t>
      </w:r>
      <w:r>
        <w:rPr>
          <w:rFonts w:ascii="Times New Roman" w:hAnsi="Times New Roman"/>
          <w:b w:val="false"/>
          <w:i w:val="false"/>
          <w:color w:val="000000"/>
          <w:sz w:val="22"/>
        </w:rPr>
        <w:t xml:space="preserve">means a city in Iowa with a population of less than 26,000 that is located more than 20 miles from a city with a population of 50,000 or more. Locations and distances between cities will be consistently measured and verified by calculating the shortest travel distance on paved roads. After an eligible applicant signs an agreement to practice in a service commitment area, subsequent population increases will not impact that applicant’s continued eligibility for the program, to the extent allowed in rule </w:t>
      </w:r>
      <w:hyperlink r:id="rId9">
        <w:r>
          <w:rPr>
            <w:rStyle w:val="Hyperlink"/>
            <w:rFonts w:ascii="Times New Roman" w:hAnsi="Times New Roman"/>
            <w:b w:val="false"/>
            <w:i w:val="false"/>
            <w:color w:val="000000"/>
            <w:sz w:val="22"/>
          </w:rPr>
          <w:t>283—26.3</w:t>
        </w:r>
      </w:hyperlink>
      <w:r>
        <w:rPr>
          <w:rFonts w:ascii="Times New Roman" w:hAnsi="Times New Roman"/>
          <w:b w:val="false"/>
          <w:i w:val="false"/>
          <w:color w:val="000000"/>
          <w:sz w:val="22"/>
        </w:rPr>
        <w:t>(261).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4186C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5137C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5222C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i w:val="false"/>
          <w:color w:val="000000"/>
          <w:sz w:val="16"/>
        </w:rPr>
        <w:t>ARC 6889C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283—26.3</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26.3(1)</w:t>
      </w:r>
      <w:r>
        <w:rPr>
          <w:rFonts w:ascii="Times New Roman" w:hAnsi="Times New Roman"/>
          <w:b w:val="false"/>
          <w:i w:val="false"/>
          <w:color w:val="000000"/>
          <w:sz w:val="22"/>
        </w:rPr>
        <w:t> </w:t>
      </w:r>
      <w:r>
        <w:rPr>
          <w:rFonts w:ascii="Times New Roman" w:hAnsi="Times New Roman"/>
          <w:b w:val="false"/>
          <w:i w:val="false"/>
          <w:color w:val="000000"/>
          <w:sz w:val="22"/>
        </w:rPr>
        <w:t>An eligible applicant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student in the final year of a degree program leading to a license to practice as an advanced registered nurse practitioner, physician assistant, or registered nurse who signs an agreement to practice in a service commitment area for five consecutive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advanced registered nurse practitioner, physician assistant, or registered nurse who signs an agreement to practice in a service commitment area for five consecutive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nurse educator who signs an agreement to teach full-time during the fall and spring semesters, or the equivalent, for five consecutive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nurse educator who teaches at least part-time during the fall and spring semesters, or the equivalent. The individual must also be employed as an advanced registered nurse practitioner or registered nurse in Iowa, and the total hours worked between these occupations must equate to full-time employment. An advanced registered nurse practitioner or registered nurse who signs an agreement to teach at least part-time as a nurse educator is not required to be employed in a service commitment area but is required to work at least part-time as a nurse educator for five consecutive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w:t>
      </w:r>
      <w:r>
        <w:rPr>
          <w:rFonts w:ascii="Times New Roman" w:hAnsi="Times New Roman"/>
          <w:b w:val="false"/>
          <w:i w:val="false"/>
          <w:color w:val="000000"/>
          <w:sz w:val="22"/>
        </w:rPr>
        <w:t> </w:t>
      </w:r>
      <w:r>
        <w:rPr>
          <w:rFonts w:ascii="Times New Roman" w:hAnsi="Times New Roman"/>
          <w:b w:val="false"/>
          <w:i w:val="false"/>
          <w:color w:val="000000"/>
          <w:sz w:val="22"/>
        </w:rPr>
        <w:t>An eligible applicant must complete and file an application for the program by the deadline established by the commission. If funds remain available after the application deadline, the commission will continue to accept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26.3(3)</w:t>
      </w:r>
      <w:r>
        <w:rPr>
          <w:rFonts w:ascii="Times New Roman" w:hAnsi="Times New Roman"/>
          <w:b w:val="false"/>
          <w:i w:val="false"/>
          <w:color w:val="000000"/>
          <w:sz w:val="22"/>
        </w:rPr>
        <w:t> </w:t>
      </w:r>
      <w:r>
        <w:rPr>
          <w:rFonts w:ascii="Times New Roman" w:hAnsi="Times New Roman"/>
          <w:b w:val="false"/>
          <w:i w:val="false"/>
          <w:color w:val="000000"/>
          <w:sz w:val="22"/>
        </w:rPr>
        <w:t>An eligible applicant must annually complete and return to the commission an affidavit of practice verifying full-time employment, as defined by the employer, in a service commitment area during the entire year as an advanced registered nurse practitioner, physician assistant, or registered nurse, or full-time employment, as defined by the employer, as a nurse educator. A nurse educator who teaches part-time during the fall and spring semesters, or the equivalent, and is also employed as a registered nurse or advanced registered nurse practitioner in Iowa must annually complete and return an affidavit of practice verifying that the total hours worked equates to full-time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4186C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6889C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283—26.4</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completed applications received on or before the published deadline will be considered for funding. To the extent possible, an equal number of new advanced registered nurse practitioners, nurse educators, physician assistants, and registered nurses will be offered awards based on the availability of appropriated funds. In the event that funding is insufficient to award all eligible applicants within an occupation category, criteria for selection of eligible applicants within each occupation category will be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status. The priority status of the applicant in the first year funding is received will be retained for renewal in priority determinations in future years as long as the applicant continues to meet the criteria in rule </w:t>
      </w:r>
      <w:hyperlink r:id="rId10">
        <w:r>
          <w:rPr>
            <w:rStyle w:val="Hyperlink"/>
            <w:rFonts w:ascii="Times New Roman" w:hAnsi="Times New Roman"/>
            <w:b w:val="false"/>
            <w:i w:val="false"/>
            <w:color w:val="000000"/>
            <w:sz w:val="22"/>
          </w:rPr>
          <w:t>283—26.3</w:t>
        </w:r>
      </w:hyperlink>
      <w:r>
        <w:rPr>
          <w:rFonts w:ascii="Times New Roman" w:hAnsi="Times New Roman"/>
          <w:b w:val="false"/>
          <w:i w:val="false"/>
          <w:color w:val="000000"/>
          <w:sz w:val="22"/>
        </w:rPr>
        <w:t>(261). Applicants within this category are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Iowa residents and eligible applicants who are members of the Iowa national guard, if requested by the adjutant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in the final year of a degree program leading to a license to practice in a specified occupation under this chapter who are Iowa residents or who are members of the Iowa national guard, if requested by the adjutant general; and advanced registered nurse practitioners and registered nurses who agree to begin practice as nurse educators on at least a part-time basis and who are Iowa residents or members of the Iowa national guard, if requested by the adjutant general. Applicants within this category are prioritized by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residents or members of the Iowa national guard, if requested by the adjutant general, who are licensed to practice in a specified occupation under this chapter and who agree to work in a service commitment area but who are not employed in a service commitment area at the time of application. Applicants within this category are prioritized by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most recent graduates of a degree program leading to a license to practice in a specified occupation under this chapter or leading to the qualification to be a nurse educator, with the most recent academic year graduates given priority, who are Iowa residents or members of the Iowa national guard, if requested by the adjutant general. Applicants within this category are prioritized by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Students in the final year of a degree program leading to a license to practice in a specified occupation under this chapter who are neither Iowa residents nor members of the Iowa national guard requested by the adjutant general; and advanced registered nurse practitioners and registered nurses who agree to begin practice as nurse educators on at least a part-time basis and who are neither Iowa residents nor members of the Iowa national guard requested by the adjutant general. Applicants within this category are prioritized by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who are neither Iowa residents nor members of the Iowa national guard requested by the adjutant general but who are licensed to practice in a specified occupation under this chapter, and who agree to work in a service commitment area but are not employed in a service commitment area at the time of application. Applicants within this category are prioritized by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most recent graduates of a degree program leading to a license to practice in a specified occupation under this chapter or leading to the qualification to be a nurse educator, who are neither Iowa residents nor members of the Iowa national guard requested by the adjutant general, with the most recent academic year graduates given priority. Applicants within this category are prioritized by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color w:val="000000"/>
          <w:sz w:val="22"/>
        </w:rPr>
        <w:t xml:space="preserve">Applicants who are members of the Iowa national guard requested by the adjutant general. </w:t>
      </w:r>
      <w:r>
        <w:rPr>
          <w:rFonts w:ascii="Times New Roman" w:hAnsi="Times New Roman"/>
          <w:b w:val="false"/>
          <w:i w:val="false"/>
          <w:color w:val="000000"/>
          <w:sz w:val="22"/>
        </w:rPr>
        <w:t>Applicants who are members of the Iowa national guard, if requested by the adjutant general, are subject to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of the Iowa national guard are exempt from the service commitment area requirement,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of the Iowa national guard must have satisfactorily completed required guard training and must maintain satisfactory performance of guard duty.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w:t>
      </w:r>
      <w:r>
        <w:rPr>
          <w:rFonts w:ascii="Times New Roman" w:hAnsi="Times New Roman"/>
          <w:b w:val="false"/>
          <w:i w:val="false"/>
          <w:color w:val="000000"/>
          <w:sz w:val="22"/>
        </w:rPr>
        <w:t> </w:t>
      </w:r>
      <w:r>
        <w:rPr>
          <w:rFonts w:ascii="Times New Roman" w:hAnsi="Times New Roman"/>
          <w:b w:val="false"/>
          <w:i/>
          <w:color w:val="000000"/>
          <w:sz w:val="22"/>
        </w:rPr>
        <w:t xml:space="preserve">Annual award. </w:t>
      </w:r>
      <w:r>
        <w:rPr>
          <w:rFonts w:ascii="Times New Roman" w:hAnsi="Times New Roman"/>
          <w:b w:val="false"/>
          <w:i w:val="false"/>
          <w:color w:val="000000"/>
          <w:sz w:val="22"/>
        </w:rPr>
        <w:t>The maximum annual award shall be $6,000.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w:t>
      </w:r>
      <w:r>
        <w:rPr>
          <w:rFonts w:ascii="Times New Roman" w:hAnsi="Times New Roman"/>
          <w:b w:val="false"/>
          <w:i w:val="false"/>
          <w:color w:val="000000"/>
          <w:sz w:val="22"/>
        </w:rPr>
        <w:t> </w:t>
      </w:r>
      <w:r>
        <w:rPr>
          <w:rFonts w:ascii="Times New Roman" w:hAnsi="Times New Roman"/>
          <w:b w:val="false"/>
          <w:i/>
          <w:color w:val="000000"/>
          <w:sz w:val="22"/>
        </w:rPr>
        <w:t xml:space="preserve">Extent of award. </w:t>
      </w:r>
      <w:r>
        <w:rPr>
          <w:rFonts w:ascii="Times New Roman" w:hAnsi="Times New Roman"/>
          <w:b w:val="false"/>
          <w:i w:val="false"/>
          <w:color w:val="000000"/>
          <w:sz w:val="22"/>
        </w:rPr>
        <w:t>Eligible applicants may receive an award for no more than five consecutive years. Eligible applicants who fail to receive awards in consecutive years will not be considered for subsequent years of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Awards will be disbursed upon completion of the year for which the award was approved and upon certification from the employer that the advanced registered nurse practitioner, nurse educator, physician assistant, or registered nurse was employed full-time, as defined by the employer, during the entire year and completed the year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Awards will be distributed directly to the eligible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4186C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6889C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283—26.5</w:t>
      </w:r>
      <w:r>
        <w:rPr>
          <w:rFonts w:ascii="Times New Roman" w:hAnsi="Times New Roman"/>
          <w:b/>
          <w:i w:val="false"/>
          <w:color w:val="000000"/>
          <w:sz w:val="22"/>
        </w:rPr>
        <w:t xml:space="preserve">(261) </w:t>
      </w:r>
      <w:r>
        <w:rPr>
          <w:rFonts w:ascii="Times New Roman" w:hAnsi="Times New Roman"/>
          <w:b/>
          <w:i w:val="false"/>
          <w:color w:val="000000"/>
          <w:sz w:val="22"/>
        </w:rPr>
        <w:t xml:space="preserve">Award 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w:t>
      </w:r>
      <w:r>
        <w:rPr>
          <w:rFonts w:ascii="Times New Roman" w:hAnsi="Times New Roman"/>
          <w:b w:val="false"/>
          <w:i w:val="false"/>
          <w:color w:val="000000"/>
          <w:sz w:val="22"/>
        </w:rPr>
        <w:t> </w:t>
      </w:r>
      <w:r>
        <w:rPr>
          <w:rFonts w:ascii="Times New Roman" w:hAnsi="Times New Roman"/>
          <w:b w:val="false"/>
          <w:i w:val="false"/>
          <w:color w:val="000000"/>
          <w:sz w:val="22"/>
        </w:rPr>
        <w:t>An eligible applicant who has been designated for an award shall notify the commission within 30 days following termination or cessation of full-time practice in a service commitment area as an advanced registered nurse practitioner, physician assistant, or registered nurse; termination or cessation of full-time employment as a nurse educator; or combined full-time employment as a nurse educator and registered nurse or nurse educator and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26.5(2)</w:t>
      </w:r>
      <w:r>
        <w:rPr>
          <w:rFonts w:ascii="Times New Roman" w:hAnsi="Times New Roman"/>
          <w:b w:val="false"/>
          <w:i w:val="false"/>
          <w:color w:val="000000"/>
          <w:sz w:val="22"/>
        </w:rPr>
        <w:t> </w:t>
      </w:r>
      <w:r>
        <w:rPr>
          <w:rFonts w:ascii="Times New Roman" w:hAnsi="Times New Roman"/>
          <w:b w:val="false"/>
          <w:i w:val="false"/>
          <w:color w:val="000000"/>
          <w:sz w:val="22"/>
        </w:rPr>
        <w:t>A recipient of an award is responsible for notifying the commission immediately of a change in name, place of employment, or home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4186C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6889C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283—26.6</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A recipient of an award under Iowa Code section </w:t>
      </w:r>
      <w:hyperlink r:id="rId11">
        <w:r>
          <w:rPr>
            <w:rStyle w:val="Hyperlink"/>
            <w:rFonts w:ascii="Times New Roman" w:hAnsi="Times New Roman"/>
            <w:b w:val="false"/>
            <w:i w:val="false"/>
            <w:color w:val="000000"/>
            <w:sz w:val="22"/>
          </w:rPr>
          <w:t>261.114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261.115</w:t>
        </w:r>
      </w:hyperlink>
      <w:r>
        <w:rPr>
          <w:rFonts w:ascii="Times New Roman" w:hAnsi="Times New Roman"/>
          <w:b w:val="false"/>
          <w:i w:val="false"/>
          <w:color w:val="000000"/>
          <w:sz w:val="22"/>
        </w:rPr>
        <w:t xml:space="preserve"> shall not be eligible for an award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4186C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6889C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283—26.7</w:t>
      </w:r>
      <w:r>
        <w:rPr>
          <w:rFonts w:ascii="Times New Roman" w:hAnsi="Times New Roman"/>
          <w:b/>
          <w:i w:val="false"/>
          <w:color w:val="000000"/>
          <w:sz w:val="22"/>
        </w:rPr>
        <w:t xml:space="preserve">(261) </w:t>
      </w:r>
      <w:r>
        <w:rPr>
          <w:rFonts w:ascii="Times New Roman" w:hAnsi="Times New Roman"/>
          <w:b/>
          <w:i w:val="false"/>
          <w:color w:val="000000"/>
          <w:sz w:val="22"/>
        </w:rPr>
        <w:t xml:space="preserve">Transition provisions. </w:t>
      </w:r>
      <w:r>
        <w:rPr>
          <w:rFonts w:ascii="Times New Roman" w:hAnsi="Times New Roman"/>
          <w:b w:val="false"/>
          <w:i w:val="false"/>
          <w:color w:val="000000"/>
          <w:sz w:val="22"/>
        </w:rPr>
        <w:t>Recipients of awards through the health care loan repayment program during the 2022 state fiscal year will be eligible for funding under the health care award program if the eligible applicants meet the eligibility criteria of the health care award program. Under this provision, no recipient will receive more than five consecutive awards between the health care loan repayment program and the health care award program. Under this provision, recipients can elect to continue to have the award applied directly to previously verified outstanding federal student loans.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6889C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261.116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4186C</w:t>
      </w:r>
      <w:r>
        <w:rPr>
          <w:rFonts w:ascii="Times New Roman" w:hAnsi="Times New Roman"/>
          <w:b w:val="false"/>
          <w:i w:val="false"/>
          <w:color w:val="000000"/>
          <w:sz w:val="21"/>
        </w:rPr>
        <w:t xml:space="preserve"> (Notice ARC 3939C, IAB 8/15/18)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5137C</w:t>
      </w:r>
      <w:r>
        <w:rPr>
          <w:rFonts w:ascii="Times New Roman" w:hAnsi="Times New Roman"/>
          <w:b w:val="false"/>
          <w:i w:val="false"/>
          <w:color w:val="000000"/>
          <w:sz w:val="21"/>
        </w:rPr>
        <w:t xml:space="preserve"> (Notice ARC 5031C, IAB 5/6/20)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[Filed ARC 5222C</w:t>
      </w:r>
      <w:r>
        <w:rPr>
          <w:rFonts w:ascii="Times New Roman" w:hAnsi="Times New Roman"/>
          <w:b w:val="false"/>
          <w:i w:val="false"/>
          <w:color w:val="000000"/>
          <w:sz w:val="21"/>
        </w:rPr>
        <w:t xml:space="preserve"> (Notice ARC 5124C, IAB 8/12/20)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6889C</w:t>
      </w:r>
      <w:r>
        <w:rPr>
          <w:rFonts w:ascii="Times New Roman" w:hAnsi="Times New Roman"/>
          <w:b w:val="false"/>
          <w:i w:val="false"/>
          <w:color w:val="000000"/>
          <w:sz w:val="21"/>
        </w:rPr>
        <w:t xml:space="preserve"> (Notice ARC 6598C, IAB 10/19/22)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9.pdf" Type="http://schemas.openxmlformats.org/officeDocument/2006/relationships/hyperlink" Id="rId5"/>
    <Relationship TargetMode="External" Target="https://www.legis.iowa.gov/docs/iac/chapter/655.2.pdf" Type="http://schemas.openxmlformats.org/officeDocument/2006/relationships/hyperlink" Id="rId6"/>
    <Relationship TargetMode="External" Target="https://www.legis.iowa.gov/docs/ico/chapter/152.5.pdf" Type="http://schemas.openxmlformats.org/officeDocument/2006/relationships/hyperlink" Id="rId7"/>
    <Relationship TargetMode="External" Target="https://www.legis.iowa.gov/docs/ico/chapter/148C.pdf" Type="http://schemas.openxmlformats.org/officeDocument/2006/relationships/hyperlink" Id="rId8"/>
    <Relationship TargetMode="External" Target="https://www.legis.iowa.gov/docs/iac/rule/283.26.3.pdf" Type="http://schemas.openxmlformats.org/officeDocument/2006/relationships/hyperlink" Id="rId9"/>
    <Relationship TargetMode="External" Target="https://www.legis.iowa.gov/docs/iac/rule/283.26.3.pdf" Type="http://schemas.openxmlformats.org/officeDocument/2006/relationships/hyperlink" Id="rId10"/>
    <Relationship TargetMode="External" Target="https://www.legis.iowa.gov/docs/ico/chapter/261.114.pdf" Type="http://schemas.openxmlformats.org/officeDocument/2006/relationships/hyperlink" Id="rId11"/>
    <Relationship TargetMode="External" Target="https://www.legis.iowa.gov/docs/ico/chapter/261.115.pdf" Type="http://schemas.openxmlformats.org/officeDocument/2006/relationships/hyperlink" Id="rId12"/>
    <Relationship TargetMode="External" Target="https://www.legis.iowa.gov/docs/ico/chapter/261.116.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