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RURAL IOWA ADVANCED REGISTERED NURSE PRACTITIONER AND</w:t>
      </w:r>
      <w:r>
        <w:br/>
      </w:r>
      <w:r>
        <w:rPr>
          <w:rFonts w:ascii="Times New Roman" w:hAnsi="Times New Roman"/>
          <w:b w:val="false"/>
          <w:i w:val="false"/>
          <w:color w:val="000000"/>
          <w:sz w:val="21"/>
        </w:rPr>
        <w:t>PHYSICIAN ASSISTANT LOAN REPAYMENT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283—25.1</w:t>
      </w:r>
      <w:r>
        <w:rPr>
          <w:rFonts w:ascii="Times New Roman" w:hAnsi="Times New Roman"/>
          <w:b/>
          <w:i w:val="false"/>
          <w:color w:val="000000"/>
          <w:sz w:val="22"/>
        </w:rPr>
        <w:t xml:space="preserve">(261) </w:t>
      </w:r>
      <w:r>
        <w:rPr>
          <w:rFonts w:ascii="Times New Roman" w:hAnsi="Times New Roman"/>
          <w:b/>
          <w:i w:val="false"/>
          <w:color w:val="000000"/>
          <w:sz w:val="22"/>
        </w:rPr>
        <w:t xml:space="preserve">Rural Iowa advanced registered nurse practitioner and physician assistant loan repayment program. </w:t>
      </w:r>
      <w:r>
        <w:rPr>
          <w:rFonts w:ascii="Times New Roman" w:hAnsi="Times New Roman"/>
          <w:b w:val="false"/>
          <w:i w:val="false"/>
          <w:color w:val="000000"/>
          <w:sz w:val="22"/>
        </w:rPr>
        <w:t>The rural Iowa advanced registered nurse practitioner and physician assistant loan repayment program is a state-supported and administered loan repayment program for applicants who agree to practice as advanced registered nurse practitioners or physician assistants in service commitment areas for five consecutive years and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means an individual who graduated from a graduate-level credential program at an eligible university, holds a practitioner’s license to practice as an advanced registered nurse practitioner pursuant to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and is employed in the practice of nursing in an eligible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advanced registered nurse practitioner’s or physician assistant’s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qualifies for loan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university” </w:t>
      </w:r>
      <w:r>
        <w:rPr>
          <w:rFonts w:ascii="Times New Roman" w:hAnsi="Times New Roman"/>
          <w:b w:val="false"/>
          <w:i w:val="false"/>
          <w:color w:val="000000"/>
          <w:sz w:val="22"/>
        </w:rPr>
        <w:t xml:space="preserve">means a college or university that meets the requirements of Iowa Code section </w:t>
      </w:r>
      <w:hyperlink r:id="rId6">
        <w:r>
          <w:rPr>
            <w:rStyle w:val="Hyperlink"/>
            <w:rFonts w:ascii="Times New Roman" w:hAnsi="Times New Roman"/>
            <w:b w:val="false"/>
            <w:i w:val="false"/>
            <w:color w:val="000000"/>
            <w:sz w:val="22"/>
          </w:rPr>
          <w:t>261.2, subsection 11</w:t>
        </w:r>
      </w:hyperlink>
      <w:r>
        <w:rPr>
          <w:rFonts w:ascii="Times New Roman" w:hAnsi="Times New Roman"/>
          <w:b w:val="false"/>
          <w:i w:val="false"/>
          <w:color w:val="000000"/>
          <w:sz w:val="22"/>
        </w:rPr>
        <w:t xml:space="preserve">, and is an institution of higher learning under the control of the state board of regents or an accredited private institution as defined in Iowa Code section </w:t>
      </w:r>
      <w:hyperlink r:id="rId7">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An eligible university must complete and return the forms to the commission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means the maximum amount of loan repayments that the advanced registered nurse practitioner or physician assistant can receive after completing all obligations under the rural Iowa advanced registered nurse practitioner and physician assistant loan repayment program, not to exceed a total of $20,000. The maximum award can be applied only to eligible loans; thus, payments cannot exceed the outstanding eligible loan balance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who graduated with a master’s degree in a physician assistant studies program at an eligible university, holds a practitioner’s license to practice as a physician assistant pursuant to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and is employed as a physician assistant in an eligible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means a medically underserved Iowa city with a population of less than 26,000 that is located more than 20 miles from a city with a population of 50,000 or more. Each applicant participating in the program must contract with the service commitment area to ensure the service commitment area provides a nonrefundable $2,000 contribution for deposit in the rural Iowa advanced registered nurse practitioner and physician assistant trust fund. Payment of the nonrefundable contribution to the trust fund can be made by, but is not limited to, the following organizations: community agencies, hospitals, medical groups, municipalities, community foundations, local government entities, or other community entities. Locations and distances between cities will be consistently measured and verified by calculating the shortest travel distance on paved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“Surplus funds” </w:t>
      </w:r>
      <w:r>
        <w:rPr>
          <w:rFonts w:ascii="Times New Roman" w:hAnsi="Times New Roman"/>
          <w:b w:val="false"/>
          <w:i w:val="false"/>
          <w:color w:val="000000"/>
          <w:sz w:val="22"/>
        </w:rPr>
        <w:t xml:space="preserve">means funding available after the maximum award has been obligated to all recommended applicants in accordance with rule </w:t>
      </w:r>
      <w:hyperlink r:id="rId9">
        <w:r>
          <w:rPr>
            <w:rStyle w:val="Hyperlink"/>
            <w:rFonts w:ascii="Times New Roman" w:hAnsi="Times New Roman"/>
            <w:b w:val="false"/>
            <w:i w:val="false"/>
            <w:color w:val="000000"/>
            <w:sz w:val="22"/>
          </w:rPr>
          <w:t>283—25.3</w:t>
        </w:r>
      </w:hyperlink>
      <w:r>
        <w:rPr>
          <w:rFonts w:ascii="Times New Roman" w:hAnsi="Times New Roman"/>
          <w:b w:val="false"/>
          <w:i w:val="false"/>
          <w:color w:val="000000"/>
          <w:sz w:val="22"/>
        </w:rPr>
        <w:t>(261).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5137C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annually determine and communicate the number of physician assistant and advanced registered nurse practitioner recommendations that can be funded at each eligible university. The intent of this determination will be to ensure that an equal number of students in each program at eligible universities are able to enter into an agreement. Priority will be given to applicants who are Iowa residents upon enrolling in the eligible university. “Iowa resident” means an individual who meets the residency requirements established in </w:t>
      </w:r>
      <w:hyperlink r:id="rId10">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If fewer than the maximum number of physician assistants or advanced registered nurse practitioners are recommended at an eligible university, the commission may obtain additional recommendations from the other eligible universities to award the remaining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An applicant must enter into an agreement with the commission during the applicant’s final year of study leading to eligibility for licensure as 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An applicant must be enrolled on a full-time basis and graduate from an eligible university with a graduate-level credential that qualifies the applicant to work as a physician assistant or advanced registered nurse practitioner. The commission may waive the full-time enrollment requirement for a temporary time frame only in the instance of a leave of absence approved by an eligible university. The applicant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Within nine months of graduating from an eligible university, an applicant must receive a permanent license to practice nursing or to work as a physician assistant in the state of Iowa and engage in full-time practice, as defined by the service commitment area, as an advanced registered nurse practitioner or physician assistant for a period of five consecutive years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val="false"/>
          <w:color w:val="000000"/>
          <w:sz w:val="22"/>
        </w:rPr>
        <w:t>An applicant must annually complete and return to the commission an affidavit of completion of the employment obligation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val="false"/>
          <w:color w:val="000000"/>
          <w:sz w:val="22"/>
        </w:rPr>
        <w:t>Prior to or upon engagement in full-time employment in a service commitment area, the advanced registered nurse practitioner or physician assistant must contract with the service commitment area to provide a nonrefundable $2,000 contribution for deposit in the rural Iowa advanced registered nurse practitioner and physician assistant trust fund. Payment must be received by the commission from the service commitment area prior to payment of any loan repayment awards to the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val="false"/>
          <w:color w:val="000000"/>
          <w:sz w:val="22"/>
        </w:rPr>
        <w:t>Failure by the applicant to meet all eligibility requirements under these rules and in the agreement will result in forfeiture of all remaining unpaid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Prior to accepting an offer of employment, the advanced registered nurse practitioner or physician assistant must notify the commission of the service commitment area in which the advanced registered nurse practitioner or physician assistant will be employed, and the commission will verify the eligibility of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be paid to the advanced registered nurse practitioner’s or physician assistant’s eligible loan lender in five equal installments, upon successful completion of each of the five 12-month employment obligations. Failure to complete all, or any portion, of the five-consecutive-year employment obligation will result in the forfeiture of all remaining unpaid payments. An advanced registered nurse practitioner or physician assistant who fails to meet the requirements of these rules may also be subject to repayment of moneys advanced by the service commitment area as provided in any contract between the advanced registered nurse practitioner or physician assistant and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No loan repayment amounts will be paid until the service commitment area provides the nonrefundable $2,000 contribution for deposit into the rural Iowa advanced registered nurse practitioner and physician assistant trust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 xml:space="preserve">If surplus funds are available, the commission will accept applications from physician assistants and advanced registered nurse practitioners practicing full-time in service commitment areas. Recipient selections shall be evenly divided between physician assistants and advanced registered nurse practitioners, to the extent possible. If surplus funds are not sufficient to fund all applicants, physician assistant and advanced registered nurse practitioner applicants will be prioritized by Iowa residency status, full-time employment status, individuals working in a federally designated Health Professional Shortage Area (HPSA) or a Governor’s Designated Rural Health Clinic county, total eligible student loan debt (highest receiving priority), and application date (earliest submitted receiving priority). Recipients will enter into agreements with the commission, and payments will be made in accordance with subrules </w:t>
      </w:r>
      <w:hyperlink r:id="rId11">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283—25.5</w:t>
      </w:r>
      <w:r>
        <w:rPr>
          <w:rFonts w:ascii="Times New Roman" w:hAnsi="Times New Roman"/>
          <w:b/>
          <w:i w:val="false"/>
          <w:color w:val="000000"/>
          <w:sz w:val="22"/>
        </w:rPr>
        <w:t xml:space="preserve">(261)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The commission may waive the requirement that the advanced registered nurse practitioner or physician assistant practice in the same service commitment area for five years. The advanced registered nurse practitioner or physician assistant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advanced registered nurse practitioner or physician assistant employment. </w:t>
      </w:r>
      <w:r>
        <w:rPr>
          <w:rFonts w:ascii="Times New Roman" w:hAnsi="Times New Roman"/>
          <w:b w:val="false"/>
          <w:i w:val="false"/>
          <w:color w:val="000000"/>
          <w:sz w:val="22"/>
        </w:rPr>
        <w:t>All obligations under the rural Iowa advanced registered nurse practitioner and physician assistant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4185C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283—25.6</w:t>
      </w:r>
      <w:r>
        <w:rPr>
          <w:rFonts w:ascii="Times New Roman" w:hAnsi="Times New Roman"/>
          <w:b/>
          <w:i w:val="false"/>
          <w:color w:val="000000"/>
          <w:sz w:val="22"/>
        </w:rPr>
        <w:t xml:space="preserve">(261) </w:t>
      </w:r>
      <w:r>
        <w:rPr>
          <w:rFonts w:ascii="Times New Roman" w:hAnsi="Times New Roman"/>
          <w:b/>
          <w:i w:val="false"/>
          <w:color w:val="000000"/>
          <w:sz w:val="22"/>
        </w:rPr>
        <w:t xml:space="preserve">Loan repayment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withdrawal from an eligible university, or termination of employment from a residency program or as an advanced registered nurse practitioner or physician assistant in a service commitment area, the applicant must notify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notifying the commission immediately of a change in contact information including, but not limited to, name, telephone number, email address, and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283—25.7</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An advanced registered nurse practitioner or physician assistant who is in default on a Federal Stafford Loan, Grad PLUS Loan, SLS Loan, Perkins/National Direct/National Defense Student Loan, Health Professions Student Loan (HPSL), or Health Education Assistance Loan (HEAL) or who owes a repayment on any Title IV grant assistance or state award shall be ineligible for loan repayment. Eligibility may be reinstated upon payment in full of the delinquent obligation or by commission ruling on the basis of adequate extenuating evidence presented in appeal under the procedures set forth in </w:t>
      </w:r>
      <w:hyperlink r:id="rId13">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261.114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1321C</w:t>
      </w:r>
      <w:r>
        <w:rPr>
          <w:rFonts w:ascii="Times New Roman" w:hAnsi="Times New Roman"/>
          <w:b w:val="false"/>
          <w:i w:val="false"/>
          <w:color w:val="000000"/>
          <w:sz w:val="21"/>
        </w:rPr>
        <w:t xml:space="preserve"> (Notice ARC 1120C,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1686C</w:t>
      </w:r>
      <w:r>
        <w:rPr>
          <w:rFonts w:ascii="Times New Roman" w:hAnsi="Times New Roman"/>
          <w:b w:val="false"/>
          <w:i w:val="false"/>
          <w:color w:val="000000"/>
          <w:sz w:val="21"/>
        </w:rPr>
        <w:t xml:space="preserve"> (Notice ARC 1587C, IAB 8/20/14)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4185C</w:t>
      </w:r>
      <w:r>
        <w:rPr>
          <w:rFonts w:ascii="Times New Roman" w:hAnsi="Times New Roman"/>
          <w:b w:val="false"/>
          <w:i w:val="false"/>
          <w:color w:val="000000"/>
          <w:sz w:val="21"/>
        </w:rPr>
        <w:t xml:space="preserve"> (Notice ARC 3941C, IAB 8/15/18)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5137C</w:t>
      </w:r>
      <w:r>
        <w:rPr>
          <w:rFonts w:ascii="Times New Roman" w:hAnsi="Times New Roman"/>
          <w:b w:val="false"/>
          <w:i w:val="false"/>
          <w:color w:val="000000"/>
          <w:sz w:val="21"/>
        </w:rPr>
        <w:t xml:space="preserve"> (Notice ARC 5031C, IAB 5/6/20)</w:t>
      </w:r>
      <w:r>
        <w:rPr>
          <w:rFonts w:ascii="Times New Roman" w:hAnsi="Times New Roman"/>
          <w:b w:val="false"/>
          <w:i w:val="false"/>
          <w:color w:val="000000"/>
          <w:sz w:val="21"/>
        </w:rPr>
        <w:t>, IAB 8/12/20, effective 9/16/20]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261.2.pdf" Type="http://schemas.openxmlformats.org/officeDocument/2006/relationships/hyperlink" Id="rId6"/>
    <Relationship TargetMode="External" Target="https://www.legis.iowa.gov/docs/ico/chapter/261.9.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ac/rule/283.25.3.pdf" Type="http://schemas.openxmlformats.org/officeDocument/2006/relationships/hyperlink" Id="rId9"/>
    <Relationship TargetMode="External" Target="https://www.legis.iowa.gov/docs/iac/chapter/283.10.pdf" Type="http://schemas.openxmlformats.org/officeDocument/2006/relationships/hyperlink" Id="rId10"/>
    <Relationship TargetMode="External" Target="https://www.legis.iowa.gov/docs/iac/rule/283.25.4.pdf" Type="http://schemas.openxmlformats.org/officeDocument/2006/relationships/hyperlink" Id="rId11"/>
    <Relationship TargetMode="External" Target="https://www.legis.iowa.gov/docs/iac/rule/283.25.4.pdf" Type="http://schemas.openxmlformats.org/officeDocument/2006/relationships/hyperlink" Id="rId12"/>
    <Relationship TargetMode="External" Target="https://www.legis.iowa.gov/docs/iac/chapter/283.4.pdf" Type="http://schemas.openxmlformats.org/officeDocument/2006/relationships/hyperlink" Id="rId13"/>
    <Relationship TargetMode="External" Target="https://www.legis.iowa.gov/docs/iac/chapter/283.5.pdf" Type="http://schemas.openxmlformats.org/officeDocument/2006/relationships/hyperlink" Id="rId14"/>
    <Relationship TargetMode="External" Target="https://www.legis.iowa.gov/docs/ico/chapter/261.11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