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RURAL IOWA PRIMARY CARE LOAN REPAYMENT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283—24.1</w:t>
      </w:r>
      <w:r>
        <w:rPr>
          <w:rFonts w:ascii="Times New Roman" w:hAnsi="Times New Roman"/>
          <w:b/>
          <w:i w:val="false"/>
          <w:color w:val="000000"/>
          <w:sz w:val="22"/>
        </w:rPr>
        <w:t xml:space="preserve">(261) </w:t>
      </w:r>
      <w:r>
        <w:rPr>
          <w:rFonts w:ascii="Times New Roman" w:hAnsi="Times New Roman"/>
          <w:b/>
          <w:i w:val="false"/>
          <w:color w:val="000000"/>
          <w:sz w:val="22"/>
        </w:rPr>
        <w:t xml:space="preserve">Rural Iowa primary care loan repayment program. </w:t>
      </w:r>
      <w:r>
        <w:rPr>
          <w:rFonts w:ascii="Times New Roman" w:hAnsi="Times New Roman"/>
          <w:b w:val="false"/>
          <w:i w:val="false"/>
          <w:color w:val="000000"/>
          <w:sz w:val="22"/>
        </w:rPr>
        <w:t>The rural Iowa primary care loan repayment program is a state-supported and administered loan repayment program for students who agree to practice as physicians in service commitment areas for five consecutive years and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 xml:space="preserve">means a nonrefundable $20,000 contribution paid by the service commitment area to the rural Iowa primary care trust fund for each physician in the community who is participating in the program. Each physician participating in the program must contract with the service commitment area to ensure the service commitment area provides the nonrefundable contribution. Payment of the nonrefundable contribution to the trust fund can be made by, but is not limited to, the following organizations: community agencies, hospitals, medical groups, municipalities, community foundations, local government agencies, or other community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physician’s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qualifies for loan repayment. A physician who receives loan repayment under this program and who refinances an eligible loan by obtaining a private educational loan may continue to receive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university” </w:t>
      </w:r>
      <w:r>
        <w:rPr>
          <w:rFonts w:ascii="Times New Roman" w:hAnsi="Times New Roman"/>
          <w:b w:val="false"/>
          <w:i w:val="false"/>
          <w:color w:val="000000"/>
          <w:sz w:val="22"/>
        </w:rPr>
        <w:t>means either the State University of Iowa Carver College of Medicine or Des Moines University College of Osteopathic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means the maximum amount of loan repayments that the physician can receive after completing all obligations under the rural Iowa primary care loan repayment program, not to exceed a total of $200,000. The maximum award can be applied only to eligible loans; thus, payments cannot exceed the outstanding eligible loan balance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practice” </w:t>
      </w:r>
      <w:r>
        <w:rPr>
          <w:rFonts w:ascii="Times New Roman" w:hAnsi="Times New Roman"/>
          <w:b w:val="false"/>
          <w:i w:val="false"/>
          <w:color w:val="000000"/>
          <w:sz w:val="22"/>
        </w:rPr>
        <w:t>means that the physician is employed at least 28 hours of a 40-hour workweek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an individual who holds a practitioner’s license issued by an agency or board under the Iowa department of public health and is employed in the practice of medicine and surgery or osteopathic medicine and surgery, specializing in family medicine, pediatrics, psychiatry, internal medicine, obstetrics and gynecology, neurology, or general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“Residency program” </w:t>
      </w:r>
      <w:r>
        <w:rPr>
          <w:rFonts w:ascii="Times New Roman" w:hAnsi="Times New Roman"/>
          <w:b w:val="false"/>
          <w:i w:val="false"/>
          <w:color w:val="000000"/>
          <w:sz w:val="22"/>
        </w:rPr>
        <w:t>means an accredited medical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means a medically underserved Iowa city that provides a nonrefundable contribution for each physician in the community who is participating in the rural Iowa primary care loan repayment program, and the city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city within a federal mental health shortage area, as designated by the Health Resources and Services Administration of the United States Department of Health and Human Services, if the physician participating in the rural Iowa primary care loan repayment program specializes in psychiatry.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city with a population of less than 26,000 that is located more than 20 miles from a city with a population of 50,000 or more. Locations and distances between cities will be consistently measured and verified by calculating the shortest travel distance on paved roads.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5137C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5222C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5965C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university will recommend applicants to the commission for loan repayment benefits. Priority will be given to students who are Iowa residents upon enrolling in the eligible university. “Iowa resident” means an individual who meets the residency requirements established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The percentage of the agreements to be entered into by students attending each eligible university shall be evenly divided.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annually determine and communicate the number of recommendations that can be funded at each eligible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fewer than the recommendations in </w:t>
      </w:r>
      <w:hyperlink r:id="rId6">
        <w:r>
          <w:rPr>
            <w:rStyle w:val="Hyperlink"/>
            <w:rFonts w:ascii="Times New Roman" w:hAnsi="Times New Roman"/>
            <w:b w:val="false"/>
            <w:i w:val="false"/>
            <w:color w:val="000000"/>
            <w:sz w:val="22"/>
          </w:rPr>
          <w:t>24.3(1)</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fulfilled by students at one eligible university, the commission may obtain additional recommendations from the other eligible university to award the remaining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fewer than the total number of recommendations in </w:t>
      </w:r>
      <w:hyperlink r:id="rId7">
        <w:r>
          <w:rPr>
            <w:rStyle w:val="Hyperlink"/>
            <w:rFonts w:ascii="Times New Roman" w:hAnsi="Times New Roman"/>
            <w:b w:val="false"/>
            <w:i w:val="false"/>
            <w:color w:val="000000"/>
            <w:sz w:val="22"/>
          </w:rPr>
          <w:t>24.3(1)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filled by students at the eligible universities, the commission may enter into additional agreements under the surplus funds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val="false"/>
          <w:color w:val="000000"/>
          <w:sz w:val="22"/>
        </w:rPr>
        <w:t>An applicant must enter into an agreement with the commission during the applicant’s final year of study leading to a doctor of medicine or osteopathy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val="false"/>
          <w:color w:val="000000"/>
          <w:sz w:val="22"/>
        </w:rPr>
        <w:t>An applicant must be enrolled on a full-time basis and graduate with a doctor of medicine or osteopathy degree from an eligible university. The commission may waive the full-time enrollment requirement for a temporary time frame only in the instance of a leave of absence approved by an eligible university. The applicant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val="false"/>
          <w:color w:val="000000"/>
          <w:sz w:val="22"/>
        </w:rPr>
        <w:t>An applicant must apply for, enter, and complete a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w:t>
      </w:r>
      <w:r>
        <w:rPr>
          <w:rFonts w:ascii="Times New Roman" w:hAnsi="Times New Roman"/>
          <w:b w:val="false"/>
          <w:i w:val="false"/>
          <w:color w:val="000000"/>
          <w:sz w:val="22"/>
        </w:rPr>
        <w:t> </w:t>
      </w:r>
      <w:r>
        <w:rPr>
          <w:rFonts w:ascii="Times New Roman" w:hAnsi="Times New Roman"/>
          <w:b w:val="false"/>
          <w:i w:val="false"/>
          <w:color w:val="000000"/>
          <w:sz w:val="22"/>
        </w:rPr>
        <w:t>Within nine months of graduating from the residency program, an applicant must receive a permanent license to practice medicine and surgery or osteopathic medicine and surgery in the state of Iowa and engage in full-time or part-time practice of medicine and surgery or osteopathic medicine and surgery specializing in family medicine, pediatrics, psychiatry, internal medicine, obstetrics and gynecology, neurology, or general surgery for a period of five consecutive years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w:t>
      </w:r>
      <w:r>
        <w:rPr>
          <w:rFonts w:ascii="Times New Roman" w:hAnsi="Times New Roman"/>
          <w:b w:val="false"/>
          <w:i w:val="false"/>
          <w:color w:val="000000"/>
          <w:sz w:val="22"/>
        </w:rPr>
        <w:t> </w:t>
      </w:r>
      <w:r>
        <w:rPr>
          <w:rFonts w:ascii="Times New Roman" w:hAnsi="Times New Roman"/>
          <w:b w:val="false"/>
          <w:i w:val="false"/>
          <w:color w:val="000000"/>
          <w:sz w:val="22"/>
        </w:rPr>
        <w:t>An applicant must annually complete and return to the commission an affidavit of acceptance into and completion of residency programs and acceptance of and completion of employment obligations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w:t>
      </w:r>
      <w:r>
        <w:rPr>
          <w:rFonts w:ascii="Times New Roman" w:hAnsi="Times New Roman"/>
          <w:b w:val="false"/>
          <w:i w:val="false"/>
          <w:color w:val="000000"/>
          <w:sz w:val="22"/>
        </w:rPr>
        <w:t> </w:t>
      </w:r>
      <w:r>
        <w:rPr>
          <w:rFonts w:ascii="Times New Roman" w:hAnsi="Times New Roman"/>
          <w:b w:val="false"/>
          <w:i w:val="false"/>
          <w:color w:val="000000"/>
          <w:sz w:val="22"/>
        </w:rPr>
        <w:t>Prior to or upon engagement in full-time or part-time practice in a service commitment area, the physician must contract with a service commitment area to provide a nonrefundable $20,000 contribution for deposit in the rural Iowa primary care trust fund. Payment must be received by the commission from a service commitment area prior to payment of any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24.3(8)</w:t>
      </w:r>
      <w:r>
        <w:rPr>
          <w:rFonts w:ascii="Times New Roman" w:hAnsi="Times New Roman"/>
          <w:b w:val="false"/>
          <w:i w:val="false"/>
          <w:color w:val="000000"/>
          <w:sz w:val="22"/>
        </w:rPr>
        <w:t> </w:t>
      </w:r>
      <w:r>
        <w:rPr>
          <w:rFonts w:ascii="Times New Roman" w:hAnsi="Times New Roman"/>
          <w:b w:val="false"/>
          <w:i w:val="false"/>
          <w:color w:val="000000"/>
          <w:sz w:val="22"/>
        </w:rPr>
        <w:t>Failure by the applicant to meet all eligibility requirements under this rule and in the agreement will result in forfeiture of all remaining unpaid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5965C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Prior to accepting an offer of employment, the physician must notify the commission of the service commitment area in which the physician will be employed, and the commission will verify the eligibility of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be paid to the physician’s eligible loan holder in five equal installments, upon successful completion of each of five 12-month employment obligations. Failure to complete all, or any portion, of the five-consecutive-year employment obligation will result in the forfeiture of all remaining unpaid payments. A physician who fails to meet the requirements of these rules may also be subject to repayment of moneys advanced by the service commitment area as provided in any contract between the physician and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val="false"/>
          <w:color w:val="000000"/>
          <w:sz w:val="22"/>
        </w:rPr>
        <w:t>No loan repayment amounts will be paid until the service commitment area provides the nonrefundable $20,000 contribution for deposit into the rural Iowa primary care trust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283—24.5</w:t>
      </w:r>
      <w:r>
        <w:rPr>
          <w:rFonts w:ascii="Times New Roman" w:hAnsi="Times New Roman"/>
          <w:b/>
          <w:i w:val="false"/>
          <w:color w:val="000000"/>
          <w:sz w:val="22"/>
        </w:rPr>
        <w:t xml:space="preserve">(261)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The commission may waive the requirement that the physician practice in the same service commitment area for five years. The physician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Full-time employment. </w:t>
      </w:r>
      <w:r>
        <w:rPr>
          <w:rFonts w:ascii="Times New Roman" w:hAnsi="Times New Roman"/>
          <w:b w:val="false"/>
          <w:i w:val="false"/>
          <w:color w:val="000000"/>
          <w:sz w:val="22"/>
        </w:rPr>
        <w:t xml:space="preserve">The commission may waive the requirement that the physician be employed full-time if the physician requests a waiver from the commission in writing and is working at least 28 hours per week. If a waiver request is granted by the commission, the agreement will be amended to provide an allowance for part-time employment. For agreements entered into pursuant to </w:t>
      </w:r>
      <w:hyperlink r:id="rId8">
        <w:r>
          <w:rPr>
            <w:rStyle w:val="Hyperlink"/>
            <w:rFonts w:ascii="Times New Roman" w:hAnsi="Times New Roman"/>
            <w:b w:val="false"/>
            <w:i w:val="false"/>
            <w:color w:val="000000"/>
            <w:sz w:val="22"/>
          </w:rPr>
          <w:t>24.3(2)</w:t>
        </w:r>
      </w:hyperlink>
      <w:r>
        <w:rPr>
          <w:rFonts w:ascii="Times New Roman" w:hAnsi="Times New Roman"/>
          <w:b w:val="false"/>
          <w:i w:val="false"/>
          <w:color w:val="000000"/>
          <w:sz w:val="22"/>
        </w:rPr>
        <w:t xml:space="preserve"> prior to July 1, 2022, the five-year employment obligation will be proportionally extended to ensure the physician is employed in a service commitment area for the equivalent of five full-time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physician employment. </w:t>
      </w:r>
      <w:r>
        <w:rPr>
          <w:rFonts w:ascii="Times New Roman" w:hAnsi="Times New Roman"/>
          <w:b w:val="false"/>
          <w:i w:val="false"/>
          <w:color w:val="000000"/>
          <w:sz w:val="22"/>
        </w:rPr>
        <w:t xml:space="preserve">The physician obligation to engage in practice in accordance with </w:t>
      </w:r>
      <w:hyperlink r:id="rId9">
        <w:r>
          <w:rPr>
            <w:rStyle w:val="Hyperlink"/>
            <w:rFonts w:ascii="Times New Roman" w:hAnsi="Times New Roman"/>
            <w:b w:val="false"/>
            <w:i w:val="false"/>
            <w:color w:val="000000"/>
            <w:sz w:val="22"/>
          </w:rPr>
          <w:t>24.3(5)</w:t>
        </w:r>
      </w:hyperlink>
      <w:r>
        <w:rPr>
          <w:rFonts w:ascii="Times New Roman" w:hAnsi="Times New Roman"/>
          <w:b w:val="false"/>
          <w:i w:val="false"/>
          <w:color w:val="000000"/>
          <w:sz w:val="22"/>
        </w:rPr>
        <w:t xml:space="preserve"> may be postponed for no more than two years from the time full-time or part-time practice was to commence. The physician must request a waiver from the commission in writing for one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duty service in the armed forces, the armed forces military reserve, or the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in Volunteers in Service to America or the federal Peace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commitment to the United States Public Health Service Commissioned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period of religious missionary work conducted by an organization exempt from federal income taxation pursuant to Section 501(c)(3) of the Internal Revenue Code.</w:t>
      </w:r>
    </w:p>
    <w:p>
      <w:pPr>
        <w:spacing w:before="0" w:after="0"/>
        <w:ind w:left="120"/>
        <w:jc w:val="both"/>
      </w:pPr>
      <w:r>
        <w:rPr>
          <w:rFonts w:ascii="Times New Roman" w:hAnsi="Times New Roman"/>
          <w:b w:val="false"/>
          <w:i w:val="false"/>
          <w:color w:val="000000"/>
          <w:sz w:val="22"/>
        </w:rPr>
        <w:t xml:space="preserve">The physician obligation to engage in practice in accordance with </w:t>
      </w:r>
      <w:hyperlink r:id="rId10">
        <w:r>
          <w:rPr>
            <w:rStyle w:val="Hyperlink"/>
            <w:rFonts w:ascii="Times New Roman" w:hAnsi="Times New Roman"/>
            <w:b w:val="false"/>
            <w:i w:val="false"/>
            <w:color w:val="000000"/>
            <w:sz w:val="22"/>
          </w:rPr>
          <w:t>24.3(5)</w:t>
        </w:r>
      </w:hyperlink>
      <w:r>
        <w:rPr>
          <w:rFonts w:ascii="Times New Roman" w:hAnsi="Times New Roman"/>
          <w:b w:val="false"/>
          <w:i w:val="false"/>
          <w:color w:val="000000"/>
          <w:sz w:val="22"/>
        </w:rPr>
        <w:t xml:space="preserve"> may be postponed for a period exceeding two years for any period of temporary medical incapacity, including leave approved under the Family and Medical Leave Act, during which the physician is unable to engage in full-time or part-time practice. The physician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physician employment. </w:t>
      </w:r>
      <w:r>
        <w:rPr>
          <w:rFonts w:ascii="Times New Roman" w:hAnsi="Times New Roman"/>
          <w:b w:val="false"/>
          <w:i w:val="false"/>
          <w:color w:val="000000"/>
          <w:sz w:val="22"/>
        </w:rPr>
        <w:t>All obligations under the rural Iowa primary care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5965C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283—24.6</w:t>
      </w:r>
      <w:r>
        <w:rPr>
          <w:rFonts w:ascii="Times New Roman" w:hAnsi="Times New Roman"/>
          <w:b/>
          <w:i w:val="false"/>
          <w:color w:val="000000"/>
          <w:sz w:val="22"/>
        </w:rPr>
        <w:t xml:space="preserve">(261) </w:t>
      </w:r>
      <w:r>
        <w:rPr>
          <w:rFonts w:ascii="Times New Roman" w:hAnsi="Times New Roman"/>
          <w:b/>
          <w:i w:val="false"/>
          <w:color w:val="000000"/>
          <w:sz w:val="22"/>
        </w:rPr>
        <w:t xml:space="preserve">Surplus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fewer than the total number of recommendations in </w:t>
      </w:r>
      <w:hyperlink r:id="rId11">
        <w:r>
          <w:rPr>
            <w:rStyle w:val="Hyperlink"/>
            <w:rFonts w:ascii="Times New Roman" w:hAnsi="Times New Roman"/>
            <w:b w:val="false"/>
            <w:i w:val="false"/>
            <w:color w:val="000000"/>
            <w:sz w:val="22"/>
          </w:rPr>
          <w:t>24.3(1)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filled by students at the eligible universities, the commission may enter into additional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A surplus funds applicant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have graduated with a doctor of medicine or osteopathy degree from an eligible university and completed a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receive a permanent license to practice medicine and surgery or osteopathic medicine and surgery in the state of Iowa and engage in full-time or part-time practice of medicine and surgery or osteopathic medicine and surgery specializing in family medicine, pediatrics, psychiatry, internal medicine, obstetrics and gynecology, neurology, or general surgery for a period of five consecutive years in a service commitment area. The applicant must notify the commission of the applicant’s service commitment area prior to beginning practice in the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Must complete and return to the commission an affidavit of acceptance into and completion of a residency program, acceptance of employment, and completion of annual employment obligations in a service commitment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Must contract with a service commitment area to provide a nonrefundable $20,000 contribution for deposit in the rural Iowa primary care trust fund. Payment must be received by the commission from a service commitment area prior to payment of any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under rule </w:t>
      </w:r>
      <w:hyperlink r:id="rId12">
        <w:r>
          <w:rPr>
            <w:rStyle w:val="Hyperlink"/>
            <w:rFonts w:ascii="Times New Roman" w:hAnsi="Times New Roman"/>
            <w:b w:val="false"/>
            <w:i w:val="false"/>
            <w:color w:val="000000"/>
            <w:sz w:val="22"/>
          </w:rPr>
          <w:t>283—24.6</w:t>
        </w:r>
      </w:hyperlink>
      <w:r>
        <w:rPr>
          <w:rFonts w:ascii="Times New Roman" w:hAnsi="Times New Roman"/>
          <w:b w:val="false"/>
          <w:i w:val="false"/>
          <w:color w:val="000000"/>
          <w:sz w:val="22"/>
        </w:rPr>
        <w:t xml:space="preserve">(261) is subject to the provisions in </w:t>
      </w:r>
      <w:hyperlink r:id="rId13">
        <w:r>
          <w:rPr>
            <w:rStyle w:val="Hyperlink"/>
            <w:rFonts w:ascii="Times New Roman" w:hAnsi="Times New Roman"/>
            <w:b w:val="false"/>
            <w:i w:val="false"/>
            <w:color w:val="000000"/>
            <w:sz w:val="22"/>
          </w:rPr>
          <w:t>24.4(2)</w:t>
        </w:r>
      </w:hyperlink>
      <w:r>
        <w:rPr>
          <w:rFonts w:ascii="Times New Roman" w:hAnsi="Times New Roman"/>
          <w:b w:val="false"/>
          <w:i w:val="false"/>
          <w:color w:val="000000"/>
          <w:sz w:val="22"/>
        </w:rPr>
        <w:t xml:space="preserve"> and rules </w:t>
      </w:r>
      <w:hyperlink r:id="rId14">
        <w:r>
          <w:rPr>
            <w:rStyle w:val="Hyperlink"/>
            <w:rFonts w:ascii="Times New Roman" w:hAnsi="Times New Roman"/>
            <w:b w:val="false"/>
            <w:i w:val="false"/>
            <w:color w:val="000000"/>
            <w:sz w:val="22"/>
          </w:rPr>
          <w:t>283—24.5</w:t>
        </w:r>
      </w:hyperlink>
      <w:r>
        <w:rPr>
          <w:rFonts w:ascii="Times New Roman" w:hAnsi="Times New Roman"/>
          <w:b w:val="false"/>
          <w:i w:val="false"/>
          <w:color w:val="000000"/>
          <w:sz w:val="22"/>
        </w:rPr>
        <w:t xml:space="preserve">(261), </w:t>
      </w:r>
      <w:hyperlink r:id="rId15">
        <w:r>
          <w:rPr>
            <w:rStyle w:val="Hyperlink"/>
            <w:rFonts w:ascii="Times New Roman" w:hAnsi="Times New Roman"/>
            <w:b w:val="false"/>
            <w:i w:val="false"/>
            <w:color w:val="000000"/>
            <w:sz w:val="22"/>
          </w:rPr>
          <w:t>283—24.7</w:t>
        </w:r>
      </w:hyperlink>
      <w:r>
        <w:rPr>
          <w:rFonts w:ascii="Times New Roman" w:hAnsi="Times New Roman"/>
          <w:b w:val="false"/>
          <w:i w:val="false"/>
          <w:color w:val="000000"/>
          <w:sz w:val="22"/>
        </w:rPr>
        <w:t xml:space="preserve">(261), and </w:t>
      </w:r>
      <w:hyperlink r:id="rId16">
        <w:r>
          <w:rPr>
            <w:rStyle w:val="Hyperlink"/>
            <w:rFonts w:ascii="Times New Roman" w:hAnsi="Times New Roman"/>
            <w:b w:val="false"/>
            <w:i w:val="false"/>
            <w:color w:val="000000"/>
            <w:sz w:val="22"/>
          </w:rPr>
          <w:t>283—24.8</w:t>
        </w:r>
      </w:hyperlink>
      <w:r>
        <w:rPr>
          <w:rFonts w:ascii="Times New Roman" w:hAnsi="Times New Roman"/>
          <w:b w:val="false"/>
          <w:i w:val="false"/>
          <w:color w:val="000000"/>
          <w:sz w:val="22"/>
        </w:rPr>
        <w:t>(261).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24.6(4)</w:t>
      </w:r>
      <w:r>
        <w:rPr>
          <w:rFonts w:ascii="Times New Roman" w:hAnsi="Times New Roman"/>
          <w:b w:val="false"/>
          <w:i w:val="false"/>
          <w:color w:val="000000"/>
          <w:sz w:val="22"/>
        </w:rPr>
        <w:t> </w:t>
      </w:r>
      <w:r>
        <w:rPr>
          <w:rFonts w:ascii="Times New Roman" w:hAnsi="Times New Roman"/>
          <w:b w:val="false"/>
          <w:i w:val="false"/>
          <w:color w:val="000000"/>
          <w:sz w:val="22"/>
        </w:rPr>
        <w:t>In the event that the total amount of surplus funds is insufficient to award all eligible applicants, awards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employed in a different state than Iowa and individuals in their final year of residency or fellowship, by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applicants by date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283—24.7</w:t>
      </w:r>
      <w:r>
        <w:rPr>
          <w:rFonts w:ascii="Times New Roman" w:hAnsi="Times New Roman"/>
          <w:b/>
          <w:i w:val="false"/>
          <w:color w:val="000000"/>
          <w:sz w:val="22"/>
        </w:rPr>
        <w:t xml:space="preserve">(261) </w:t>
      </w:r>
      <w:r>
        <w:rPr>
          <w:rFonts w:ascii="Times New Roman" w:hAnsi="Times New Roman"/>
          <w:b/>
          <w:i w:val="false"/>
          <w:color w:val="000000"/>
          <w:sz w:val="22"/>
        </w:rPr>
        <w:t xml:space="preserve">Loan repayment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withdrawal from an eligible university, or termination of employment from a residency program or as a physician in a service commitment area, the applicant must notify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notifying the commission immediately of a change in contact information including, but not limited to, name, telephone number, email address, and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283—24.8</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physician who is in default on a Federal Stafford Loan, Grad PLUS Loan, SLS Loan, Perkins/National Direct/National Defense Student Loan, Health Professions Student Loan (HPSL), or Health Education Assistance Loan (HEAL) or who owes a repayment on any Title IV grant assistance or state award shall be ineligible for loan repayment. Eligibility may be reinstated upon payment in full of the delinquent obligation or by commission ruling on the basis of adequate extenuating evidence presented in appeal under the procedures set forth in </w:t>
      </w:r>
      <w:hyperlink r:id="rId17">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261.113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Senate File 2347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1320C</w:t>
      </w:r>
      <w:r>
        <w:rPr>
          <w:rFonts w:ascii="Times New Roman" w:hAnsi="Times New Roman"/>
          <w:b w:val="false"/>
          <w:i w:val="false"/>
          <w:color w:val="000000"/>
          <w:sz w:val="21"/>
        </w:rPr>
        <w:t xml:space="preserve"> (Notice ARC 1121C,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1685C</w:t>
      </w:r>
      <w:r>
        <w:rPr>
          <w:rFonts w:ascii="Times New Roman" w:hAnsi="Times New Roman"/>
          <w:b w:val="false"/>
          <w:i w:val="false"/>
          <w:color w:val="000000"/>
          <w:sz w:val="21"/>
        </w:rPr>
        <w:t xml:space="preserve"> (Notice ARC 1586C, IAB 8/20/14)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5137C</w:t>
      </w:r>
      <w:r>
        <w:rPr>
          <w:rFonts w:ascii="Times New Roman" w:hAnsi="Times New Roman"/>
          <w:b w:val="false"/>
          <w:i w:val="false"/>
          <w:color w:val="000000"/>
          <w:sz w:val="21"/>
        </w:rPr>
        <w:t xml:space="preserve"> (Notice ARC 5031C, IAB 5/6/20)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[Filed ARC 5222C</w:t>
      </w:r>
      <w:r>
        <w:rPr>
          <w:rFonts w:ascii="Times New Roman" w:hAnsi="Times New Roman"/>
          <w:b w:val="false"/>
          <w:i w:val="false"/>
          <w:color w:val="000000"/>
          <w:sz w:val="21"/>
        </w:rPr>
        <w:t xml:space="preserve"> (Notice ARC 5124C, IAB 8/12/20)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5965C</w:t>
      </w:r>
      <w:r>
        <w:rPr>
          <w:rFonts w:ascii="Times New Roman" w:hAnsi="Times New Roman"/>
          <w:b w:val="false"/>
          <w:i w:val="false"/>
          <w:color w:val="000000"/>
          <w:sz w:val="21"/>
        </w:rPr>
        <w:t xml:space="preserve"> (Notice ARC 5853C,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6731C</w:t>
      </w:r>
      <w:r>
        <w:rPr>
          <w:rFonts w:ascii="Times New Roman" w:hAnsi="Times New Roman"/>
          <w:b w:val="false"/>
          <w:i w:val="false"/>
          <w:color w:val="000000"/>
          <w:sz w:val="21"/>
        </w:rPr>
        <w:t xml:space="preserve"> (Notice ARC 6480C, IAB 8/24/22)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ac/rule/283.24.3.pdf" Type="http://schemas.openxmlformats.org/officeDocument/2006/relationships/hyperlink" Id="rId6"/>
    <Relationship TargetMode="External" Target="https://www.legis.iowa.gov/docs/iac/rule/283.24.3.pdf" Type="http://schemas.openxmlformats.org/officeDocument/2006/relationships/hyperlink" Id="rId7"/>
    <Relationship TargetMode="External" Target="https://www.legis.iowa.gov/docs/iac/rule/283.24.3.pdf" Type="http://schemas.openxmlformats.org/officeDocument/2006/relationships/hyperlink" Id="rId8"/>
    <Relationship TargetMode="External" Target="https://www.legis.iowa.gov/docs/iac/rule/283.24.3.pdf" Type="http://schemas.openxmlformats.org/officeDocument/2006/relationships/hyperlink" Id="rId9"/>
    <Relationship TargetMode="External" Target="https://www.legis.iowa.gov/docs/iac/rule/283.24.3.pdf" Type="http://schemas.openxmlformats.org/officeDocument/2006/relationships/hyperlink" Id="rId10"/>
    <Relationship TargetMode="External" Target="https://www.legis.iowa.gov/docs/iac/rule/283.24.3.pdf" Type="http://schemas.openxmlformats.org/officeDocument/2006/relationships/hyperlink" Id="rId11"/>
    <Relationship TargetMode="External" Target="https://www.legis.iowa.gov/docs/iac/rule/283.24.6.pdf" Type="http://schemas.openxmlformats.org/officeDocument/2006/relationships/hyperlink" Id="rId12"/>
    <Relationship TargetMode="External" Target="https://www.legis.iowa.gov/docs/iac/rule/283.24.4.pdf" Type="http://schemas.openxmlformats.org/officeDocument/2006/relationships/hyperlink" Id="rId13"/>
    <Relationship TargetMode="External" Target="https://www.legis.iowa.gov/docs/iac/rule/283.24.5.pdf" Type="http://schemas.openxmlformats.org/officeDocument/2006/relationships/hyperlink" Id="rId14"/>
    <Relationship TargetMode="External" Target="https://www.legis.iowa.gov/docs/iac/rule/283.24.7.pdf" Type="http://schemas.openxmlformats.org/officeDocument/2006/relationships/hyperlink" Id="rId15"/>
    <Relationship TargetMode="External" Target="https://www.legis.iowa.gov/docs/iac/rule/283.24.8.pdf" Type="http://schemas.openxmlformats.org/officeDocument/2006/relationships/hyperlink" Id="rId16"/>
    <Relationship TargetMode="External" Target="https://www.legis.iowa.gov/docs/iac/chapter/283.4.pdf" Type="http://schemas.openxmlformats.org/officeDocument/2006/relationships/hyperlink" Id="rId17"/>
    <Relationship TargetMode="External" Target="https://www.legis.iowa.gov/docs/iac/chapter/283.5.pdf" Type="http://schemas.openxmlformats.org/officeDocument/2006/relationships/hyperlink" Id="rId18"/>
    <Relationship TargetMode="External" Target="https://www.legis.iowa.gov/docs/ico/chapter/261.11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