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APPROVAL OF POSTSECONDARY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283—21.1</w:t>
      </w:r>
      <w:r>
        <w:rPr>
          <w:rFonts w:ascii="Times New Roman" w:hAnsi="Times New Roman"/>
          <w:b/>
          <w:i w:val="false"/>
          <w:color w:val="000000"/>
          <w:sz w:val="22"/>
        </w:rPr>
        <w:t xml:space="preserve">(261B,261G) </w:t>
      </w:r>
      <w:r>
        <w:rPr>
          <w:rFonts w:ascii="Times New Roman" w:hAnsi="Times New Roman"/>
          <w:b/>
          <w:i w:val="false"/>
          <w:color w:val="000000"/>
          <w:sz w:val="22"/>
        </w:rPr>
        <w:t xml:space="preserve">Postsecondary registration, exemption from registration, and participation in the commission-approved reciprocity agreement. </w:t>
      </w:r>
      <w:r>
        <w:rPr>
          <w:rFonts w:ascii="Times New Roman" w:hAnsi="Times New Roman"/>
          <w:b w:val="false"/>
          <w:i w:val="false"/>
          <w:color w:val="000000"/>
          <w:sz w:val="22"/>
        </w:rPr>
        <w:t>The college student aid commission examines college and university applications for registration to operate in Iowa or authorization to operate under an exemption from registration and monitors schools approved by the commission to operate in the state. The commission also examines Iowa college and university applications for participation in an interstate reciprocity agreement under which the commission is an approved participant.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 xml:space="preserve">; </w:t>
      </w:r>
      <w:r>
        <w:rPr>
          <w:rFonts w:ascii="Times New Roman" w:hAnsi="Times New Roman"/>
          <w:b/>
          <w:i w:val="false"/>
          <w:color w:val="000000"/>
          <w:sz w:val="16"/>
        </w:rPr>
        <w:t>ARC 5964C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283—21.2</w:t>
      </w:r>
      <w:r>
        <w:rPr>
          <w:rFonts w:ascii="Times New Roman" w:hAnsi="Times New Roman"/>
          <w:b/>
          <w:i w:val="false"/>
          <w:color w:val="000000"/>
          <w:sz w:val="22"/>
        </w:rPr>
        <w:t xml:space="preserve">(261B,261G)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reciprocity agreement administrator” </w:t>
      </w:r>
      <w:r>
        <w:rPr>
          <w:rFonts w:ascii="Times New Roman" w:hAnsi="Times New Roman"/>
          <w:b w:val="false"/>
          <w:i w:val="false"/>
          <w:color w:val="000000"/>
          <w:sz w:val="22"/>
        </w:rPr>
        <w:t xml:space="preserve">means the entity with which the commission has an agreement to participate in interstate reciprocity under Iowa Code chapter </w:t>
      </w:r>
      <w:hyperlink r:id="rId5">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means the process by which a school must seek, or voluntarily seeks, the commission’s explicit approval to operate in Iowa or offer courses of instruction to Iowans under Iowa Code chapter </w:t>
      </w:r>
      <w:hyperlink r:id="rId6">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 xml:space="preserve">means a postsecondary educational institution that applies to register or is currently registered to offer all or a portion of a program in Iowa, or applies to operate or is operating under an approved exemption from registration, under Iowa Code chapter </w:t>
      </w:r>
      <w:hyperlink r:id="rId7">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“School” also means a postsecondary educational institution that is seeking to participate in the commission’s approved interstate reciprocity agreement under Iowa Code chapter </w:t>
      </w:r>
      <w:hyperlink r:id="rId8">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 xml:space="preserve"> or that is a “participating resident institution” as defined in Iowa Code section </w:t>
      </w:r>
      <w:hyperlink r:id="rId9">
        <w:r>
          <w:rPr>
            <w:rStyle w:val="Hyperlink"/>
            <w:rFonts w:ascii="Times New Roman" w:hAnsi="Times New Roman"/>
            <w:b w:val="false"/>
            <w:i w:val="false"/>
            <w:color w:val="000000"/>
            <w:sz w:val="22"/>
          </w:rPr>
          <w:t>261G.2</w:t>
        </w:r>
      </w:hyperlink>
      <w:r>
        <w:rPr>
          <w:rFonts w:ascii="Times New Roman" w:hAnsi="Times New Roman"/>
          <w:b w:val="false"/>
          <w:i w:val="false"/>
          <w:color w:val="000000"/>
          <w:sz w:val="22"/>
        </w:rPr>
        <w:t xml:space="preserve">. A postsecondary educational institution that maintains a physical location outside of the state of Iowa and that must register under Iowa Code chapter </w:t>
      </w:r>
      <w:hyperlink r:id="rId10">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to operate at a physical location in this state is not a school that is eligible to participate in the commission’s approved interstate reciprocity agreement under Iowa Code chapter </w:t>
      </w:r>
      <w:hyperlink r:id="rId11">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closure” </w:t>
      </w:r>
      <w:r>
        <w:rPr>
          <w:rFonts w:ascii="Times New Roman" w:hAnsi="Times New Roman"/>
          <w:b w:val="false"/>
          <w:i w:val="false"/>
          <w:color w:val="000000"/>
          <w:sz w:val="22"/>
        </w:rPr>
        <w:t>means a precipitous or abrupt closure of a school during a semester, school period, or term of enrollment that leaves students without an option to complete the courses or program they started and with no ability to receive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 xml:space="preserve">; </w:t>
      </w:r>
      <w:r>
        <w:rPr>
          <w:rFonts w:ascii="Times New Roman" w:hAnsi="Times New Roman"/>
          <w:b/>
          <w:i w:val="false"/>
          <w:color w:val="000000"/>
          <w:sz w:val="16"/>
        </w:rPr>
        <w:t>ARC 5964C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283—21.3</w:t>
      </w:r>
      <w:r>
        <w:rPr>
          <w:rFonts w:ascii="Times New Roman" w:hAnsi="Times New Roman"/>
          <w:b/>
          <w:i w:val="false"/>
          <w:color w:val="000000"/>
          <w:sz w:val="22"/>
        </w:rPr>
        <w:t xml:space="preserve">(261B,261G) </w:t>
      </w:r>
      <w:r>
        <w:rPr>
          <w:rFonts w:ascii="Times New Roman" w:hAnsi="Times New Roman"/>
          <w:b/>
          <w:i w:val="false"/>
          <w:color w:val="000000"/>
          <w:sz w:val="22"/>
        </w:rPr>
        <w:t xml:space="preserve">Registration approval criteria. </w:t>
      </w:r>
      <w:r>
        <w:rPr>
          <w:rFonts w:ascii="Times New Roman" w:hAnsi="Times New Roman"/>
          <w:b w:val="false"/>
          <w:i w:val="false"/>
          <w:color w:val="000000"/>
          <w:sz w:val="22"/>
        </w:rPr>
        <w:t>The college student aid commission will approve an applicant school that completes a registration application provided by the commission and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The applicant school is accredited by an agency recognized by the United States Department of Education or its successor agency. The applicant school shall certify to the commission the school’s status with the accrediting agency at the time of the application and provide information about any pending or final action that may affect the school’s status with its accrediting agency.</w:t>
      </w:r>
    </w:p>
    <w:p>
      <w:pPr>
        <w:spacing w:before="0" w:after="0"/>
        <w:ind w:left="120"/>
        <w:jc w:val="both"/>
      </w:pPr>
      <w:r>
        <w:rPr>
          <w:rFonts w:ascii="Times New Roman" w:hAnsi="Times New Roman"/>
          <w:b w:val="false"/>
          <w:i w:val="false"/>
          <w:color w:val="000000"/>
          <w:sz w:val="22"/>
        </w:rPr>
        <w:t>As applicable, the applicant school shall provide the commission the name of any programmatic accrediting agency recognized by the United States Department of Education that accredits the specific programs the applicant school proposes to offer under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The applicant school certifies to the commission that the applicant school’s approval to operate in a state has not been revoked by the state, the school has not been sanctioned by a state within a year prior to the date of its application, and the school is not under investigation or bound by the terms of a judgment issued by a state’s attorney general or 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val="false"/>
          <w:color w:val="000000"/>
          <w:sz w:val="22"/>
        </w:rPr>
        <w:t>The applicant school certifies that it is not subject to a limitation, suspension or termination order issued by the United States Department of Education or its successor agency. The applicant school shall provide the commission with a copy of the school’s current program participation agreement with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school complies with Iowa Code section </w:t>
      </w:r>
      <w:hyperlink r:id="rId12">
        <w:r>
          <w:rPr>
            <w:rStyle w:val="Hyperlink"/>
            <w:rFonts w:ascii="Times New Roman" w:hAnsi="Times New Roman"/>
            <w:b w:val="false"/>
            <w:i w:val="false"/>
            <w:color w:val="000000"/>
            <w:sz w:val="22"/>
          </w:rPr>
          <w:t>261B.7</w:t>
        </w:r>
      </w:hyperlink>
      <w:r>
        <w:rPr>
          <w:rFonts w:ascii="Times New Roman" w:hAnsi="Times New Roman"/>
          <w:b w:val="false"/>
          <w:i w:val="false"/>
          <w:color w:val="000000"/>
          <w:sz w:val="22"/>
        </w:rPr>
        <w:t>, which prohibits a school from advertising that the school is approved or accredited by the commission or the state of Iowa. However, an applicant school must demonstrate the method by which it will disclose that the school is registered with the commission and provide the commission’s contact information for students who wish to inquire about the school or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school provides the commission with institutional policies adopted by the school that comply with the requirements of Iowa Code section </w:t>
      </w:r>
      <w:hyperlink r:id="rId13">
        <w:r>
          <w:rPr>
            <w:rStyle w:val="Hyperlink"/>
            <w:rFonts w:ascii="Times New Roman" w:hAnsi="Times New Roman"/>
            <w:b w:val="false"/>
            <w:i w:val="false"/>
            <w:color w:val="000000"/>
            <w:sz w:val="22"/>
          </w:rPr>
          <w:t>261.9(1)</w:t>
        </w:r>
        <w:r>
          <w:rPr>
            <w:rFonts w:ascii="Times New Roman" w:hAnsi="Times New Roman"/>
            <w:b w:val="false"/>
            <w:i/>
            <w:color w:val="000000"/>
            <w:sz w:val="22"/>
          </w:rPr>
          <w:t>“e”</w:t>
        </w:r>
        <w:r>
          <w:rPr>
            <w:rFonts w:ascii="Times New Roman" w:hAnsi="Times New Roman"/>
            <w:b w:val="false"/>
            <w:i w:val="false"/>
            <w:color w:val="000000"/>
            <w:sz w:val="22"/>
          </w:rPr>
          <w:t xml:space="preserve"> to </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program in which a student’s academic progress is measured only in clock hours, the school shall provide a full refund of tuition and mandatory fees to a student who withdraws and who requests that benefit under Iowa Code section </w:t>
      </w:r>
      <w:hyperlink r:id="rId14">
        <w:r>
          <w:rPr>
            <w:rStyle w:val="Hyperlink"/>
            <w:rFonts w:ascii="Times New Roman" w:hAnsi="Times New Roman"/>
            <w:b w:val="false"/>
            <w:i w:val="false"/>
            <w:color w:val="000000"/>
            <w:sz w:val="22"/>
          </w:rPr>
          <w:t>261.9(1)</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the payment period in which the student withdrew. The payment period is determined under rules promulgated by the United States Department of Education for the disbursement of federal Stafford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policy for reporting suspected incidents of child physical or sexual abuse required by Iowa Code section </w:t>
      </w:r>
      <w:hyperlink r:id="rId15">
        <w:r>
          <w:rPr>
            <w:rStyle w:val="Hyperlink"/>
            <w:rFonts w:ascii="Times New Roman" w:hAnsi="Times New Roman"/>
            <w:b w:val="false"/>
            <w:i w:val="false"/>
            <w:color w:val="000000"/>
            <w:sz w:val="22"/>
          </w:rPr>
          <w:t>261.9(1)</w:t>
        </w:r>
        <w:r>
          <w:rPr>
            <w:rFonts w:ascii="Times New Roman" w:hAnsi="Times New Roman"/>
            <w:b w:val="false"/>
            <w:i/>
            <w:color w:val="000000"/>
            <w:sz w:val="22"/>
          </w:rPr>
          <w:t>“h”</w:t>
        </w:r>
      </w:hyperlink>
      <w:r>
        <w:rPr>
          <w:rFonts w:ascii="Times New Roman" w:hAnsi="Times New Roman"/>
          <w:b w:val="false"/>
          <w:i w:val="false"/>
          <w:color w:val="000000"/>
          <w:sz w:val="22"/>
        </w:rPr>
        <w:t xml:space="preserve"> shall apply to individuals the school compensates to conduct activities on the school’s behalf at an 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val="false"/>
          <w:color w:val="000000"/>
          <w:sz w:val="22"/>
        </w:rPr>
        <w:t>If required by the commission, the applicant school files annual reports that the commission also requires from all Iowa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school demonstrates financial viability by providing a copy of the institution’s most recent audit that was prepared by a certified public accounting firm no more than 12 months prior to the date of the application and that provides an unqualified opinion. An applicant school must provide the auditor’s report as an attachment to the registration application, which is posted on the commission’s Internet site. However, the school may provide financial statements associated with the audit in a separate electronic file that is marked “confidential.” Financial statements that a school identifies as “confidential” will not be treated as public records under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21.3(8)</w:t>
      </w:r>
      <w:r>
        <w:rPr>
          <w:rFonts w:ascii="Times New Roman" w:hAnsi="Times New Roman"/>
          <w:b w:val="false"/>
          <w:i w:val="false"/>
          <w:color w:val="000000"/>
          <w:sz w:val="22"/>
        </w:rPr>
        <w:t> </w:t>
      </w:r>
      <w:r>
        <w:rPr>
          <w:rFonts w:ascii="Times New Roman" w:hAnsi="Times New Roman"/>
          <w:b w:val="false"/>
          <w:i w:val="false"/>
          <w:color w:val="000000"/>
          <w:sz w:val="22"/>
        </w:rPr>
        <w:t>The applicant school provides a description of the learning resources it offers to students, including appropriate library and other support services the school provides to its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21.3(9)</w:t>
      </w:r>
      <w:r>
        <w:rPr>
          <w:rFonts w:ascii="Times New Roman" w:hAnsi="Times New Roman"/>
          <w:b w:val="false"/>
          <w:i w:val="false"/>
          <w:color w:val="000000"/>
          <w:sz w:val="22"/>
        </w:rPr>
        <w:t> </w:t>
      </w:r>
      <w:r>
        <w:rPr>
          <w:rFonts w:ascii="Times New Roman" w:hAnsi="Times New Roman"/>
          <w:b w:val="false"/>
          <w:i w:val="false"/>
          <w:color w:val="000000"/>
          <w:sz w:val="22"/>
        </w:rPr>
        <w:t>The applicant school provides evidence that faculty within an appropriate discipline are involved in developing and evaluating curriculum for the program(s) being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21.3(10)</w:t>
      </w:r>
      <w:r>
        <w:rPr>
          <w:rFonts w:ascii="Times New Roman" w:hAnsi="Times New Roman"/>
          <w:b w:val="false"/>
          <w:i w:val="false"/>
          <w:color w:val="000000"/>
          <w:sz w:val="22"/>
        </w:rPr>
        <w:t> </w:t>
      </w:r>
      <w:r>
        <w:rPr>
          <w:rFonts w:ascii="Times New Roman" w:hAnsi="Times New Roman"/>
          <w:b w:val="false"/>
          <w:i w:val="false"/>
          <w:color w:val="000000"/>
          <w:sz w:val="22"/>
        </w:rPr>
        <w:t>The applicant school provides documentation or information posted on its Internet site that describes the educational and experiential qualifications of all faculty or instructors who teach in the programs the school proposes to offer under its registration and the general subject matter in which faculty members or instructors teach. The applicant school shall also provide the number of full-time and part-time faculty and instructors who will teach the courses offered to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The applicant school provides documentation demonstrating that a program which prepares a student for an occupation that requires professional licensure in Iowa and which the school proposes to offer under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approved by the appropriate state of Iowa licensing agency and accrediting agency, if such approval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Meets curriculum standards of the appropriate state of Iowa licensing agency such that the state of Iowa licensing agency does not require the student to complete additional coursework or practicum hours that the school did not offer in its professional licensure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The school submits a request for amendment of its registration subject to commission approval in the event the school makes a substantive change in location, program offering, or accreditation during its registration term. A substantive change in program offering occurs when a school proposes to initiate a program that requires the approval of the state board of education or any other program that prepares a student for an occupation that requires professional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its registration term, the school notifies the commission within 90 days after adding a program that does not require the school to seek the commission’s amendment approval under subrule </w:t>
      </w:r>
      <w:hyperlink r:id="rId17">
        <w:r>
          <w:rPr>
            <w:rStyle w:val="Hyperlink"/>
            <w:rFonts w:ascii="Times New Roman" w:hAnsi="Times New Roman"/>
            <w:b w:val="false"/>
            <w:i w:val="false"/>
            <w:color w:val="000000"/>
            <w:sz w:val="22"/>
          </w:rPr>
          <w:t>21.3(12)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w:t>
      </w:r>
      <w:r>
        <w:rPr>
          <w:rFonts w:ascii="Times New Roman" w:hAnsi="Times New Roman"/>
          <w:b w:val="false"/>
          <w:i w:val="false"/>
          <w:color w:val="000000"/>
          <w:sz w:val="22"/>
        </w:rPr>
        <w:t> </w:t>
      </w:r>
      <w:r>
        <w:rPr>
          <w:rFonts w:ascii="Times New Roman" w:hAnsi="Times New Roman"/>
          <w:b w:val="false"/>
          <w:i w:val="false"/>
          <w:color w:val="000000"/>
          <w:sz w:val="22"/>
        </w:rPr>
        <w:t>The applicant school certifies that it will immediately notify the commission of any pending or final sanction issued by the school’s accrediting agency, another state agency that registers or licenses the school during its registration term, or a state attorney general’s office or 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21.3(15)</w:t>
      </w:r>
      <w:r>
        <w:rPr>
          <w:rFonts w:ascii="Times New Roman" w:hAnsi="Times New Roman"/>
          <w:b w:val="false"/>
          <w:i w:val="false"/>
          <w:color w:val="000000"/>
          <w:sz w:val="22"/>
        </w:rPr>
        <w:t> </w:t>
      </w:r>
      <w:r>
        <w:rPr>
          <w:rFonts w:ascii="Times New Roman" w:hAnsi="Times New Roman"/>
          <w:b w:val="false"/>
          <w:i w:val="false"/>
          <w:color w:val="000000"/>
          <w:sz w:val="22"/>
        </w:rPr>
        <w:t>The applicant school provides a statement, signed by its chief executive officer, demonstrating the applicant school’s commitment to the delivery of programs offered in Iowa and agreeing to provide alternatives for students to complete their programs at the same or other schools if the applicant school discontinues a program, the applicant school closes, or the applicant school closes an Iowa site before students have completed their courses of study.</w:t>
      </w:r>
    </w:p>
    <w:p>
      <w:pPr>
        <w:spacing w:before="0" w:after="0"/>
        <w:ind w:left="120"/>
        <w:jc w:val="both"/>
      </w:pPr>
      <w:r>
        <w:rPr>
          <w:rFonts w:ascii="Times New Roman" w:hAnsi="Times New Roman"/>
          <w:b w:val="false"/>
          <w:i w:val="false"/>
          <w:color w:val="000000"/>
          <w:sz w:val="22"/>
        </w:rPr>
        <w:t>Notwithstanding any limitations on student eligibility for a teach-out plan approved by a school’s accrediting agency, the alternatives that the school provides under this agreement with the commission shall ensure that all academically eligible students attending the programs the school offers under its registration are provided with a viable option(s) to finish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w:t>
      </w:r>
      <w:r>
        <w:rPr>
          <w:rFonts w:ascii="Times New Roman" w:hAnsi="Times New Roman"/>
          <w:b w:val="false"/>
          <w:i w:val="false"/>
          <w:color w:val="000000"/>
          <w:sz w:val="22"/>
        </w:rPr>
        <w:t> </w:t>
      </w:r>
      <w:r>
        <w:rPr>
          <w:rFonts w:ascii="Times New Roman" w:hAnsi="Times New Roman"/>
          <w:b w:val="false"/>
          <w:i w:val="false"/>
          <w:color w:val="000000"/>
          <w:sz w:val="22"/>
        </w:rPr>
        <w:t>If the applicant school is for profit, the applicant school provides evidence that its most recently calculated percentage of revenue derived from funds received under Title IV of the Higher Education Act of 1965, as amended, does not exceed the threshold established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21.3(17)</w:t>
      </w:r>
      <w:r>
        <w:rPr>
          <w:rFonts w:ascii="Times New Roman" w:hAnsi="Times New Roman"/>
          <w:b w:val="false"/>
          <w:i w:val="false"/>
          <w:color w:val="000000"/>
          <w:sz w:val="22"/>
        </w:rPr>
        <w:t> </w:t>
      </w:r>
      <w:r>
        <w:rPr>
          <w:rFonts w:ascii="Times New Roman" w:hAnsi="Times New Roman"/>
          <w:b w:val="false"/>
          <w:i w:val="false"/>
          <w:color w:val="000000"/>
          <w:sz w:val="22"/>
        </w:rPr>
        <w:t>If the applicant school is nonpublic, the applicant school provides evidence of its official financial responsibility composite score, as calculated using the method prescribed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demonstrates that its financial responsibility composite score is official by providing written confirmation of its composite score from the United States Department of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that does not participate in the postsecondary student financial aid programs authorized by the United States Department of Education demonstrates that its financial responsibility composite score is official by providing written confirmation of its composite score from its accrediting agency. If the school’s accrediting agency does not independently verify the school’s composite score, the school must submit written confirmation from its independent auditor.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w:t>
      </w:r>
      <w:r>
        <w:rPr>
          <w:rFonts w:ascii="Times New Roman" w:hAnsi="Times New Roman"/>
          <w:b w:val="false"/>
          <w:i w:val="false"/>
          <w:color w:val="000000"/>
          <w:sz w:val="22"/>
        </w:rPr>
        <w:t> </w:t>
      </w:r>
      <w:r>
        <w:rPr>
          <w:rFonts w:ascii="Times New Roman" w:hAnsi="Times New Roman"/>
          <w:b w:val="false"/>
          <w:i w:val="false"/>
          <w:color w:val="000000"/>
          <w:sz w:val="22"/>
        </w:rPr>
        <w:t>A nonpublic school that does not have a legal governing body, such as a board of directors or board of trustees, shall provide the names, titles, and educational and experiential qualifications of the persons holding key academic and operational leadership positions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21.3(19)</w:t>
      </w:r>
      <w:r>
        <w:rPr>
          <w:rFonts w:ascii="Times New Roman" w:hAnsi="Times New Roman"/>
          <w:b w:val="false"/>
          <w:i w:val="false"/>
          <w:color w:val="000000"/>
          <w:sz w:val="22"/>
        </w:rPr>
        <w:t> </w:t>
      </w:r>
      <w:r>
        <w:rPr>
          <w:rFonts w:ascii="Times New Roman" w:hAnsi="Times New Roman"/>
          <w:b w:val="false"/>
          <w:i w:val="false"/>
          <w:color w:val="000000"/>
          <w:sz w:val="22"/>
        </w:rPr>
        <w:t>A nonpublic school that is a subsidiary of another organization provides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parent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titles of the members of the parent organization’s legal governing body, such as a board of directors or board of trustees. In the absence of a legal governing body, the school provides the information described in subrule </w:t>
      </w:r>
      <w:hyperlink r:id="rId18">
        <w:r>
          <w:rPr>
            <w:rStyle w:val="Hyperlink"/>
            <w:rFonts w:ascii="Times New Roman" w:hAnsi="Times New Roman"/>
            <w:b w:val="false"/>
            <w:i w:val="false"/>
            <w:color w:val="000000"/>
            <w:sz w:val="22"/>
          </w:rPr>
          <w:t>21.3(18)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any other school(s) that is a subsidiary of the same parent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w:t>
      </w:r>
      <w:r>
        <w:rPr>
          <w:rFonts w:ascii="Times New Roman" w:hAnsi="Times New Roman"/>
          <w:b w:val="false"/>
          <w:i w:val="false"/>
          <w:color w:val="000000"/>
          <w:sz w:val="22"/>
        </w:rPr>
        <w:t> </w:t>
      </w:r>
      <w:r>
        <w:rPr>
          <w:rFonts w:ascii="Times New Roman" w:hAnsi="Times New Roman"/>
          <w:b w:val="false"/>
          <w:i w:val="false"/>
          <w:color w:val="000000"/>
          <w:sz w:val="22"/>
        </w:rPr>
        <w:t>The school posts a list of required and suggested textbooks for all courses and corresponding international standard book numbers for such textbooks at least 14 days before the start of each semester or term at the locations where textbooks are sold on campus and on the school’s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val="false"/>
          <w:color w:val="000000"/>
          <w:sz w:val="22"/>
        </w:rPr>
        <w:t>The school provides any additional information the commission requires to evaluate the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283—21.4</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Additional approval criteria for an applicant school that applies for registration to maintain a fixed location in Iowa. </w:t>
      </w:r>
      <w:r>
        <w:rPr>
          <w:rFonts w:ascii="Times New Roman" w:hAnsi="Times New Roman"/>
          <w:b w:val="false"/>
          <w:i w:val="false"/>
          <w:color w:val="000000"/>
          <w:sz w:val="22"/>
        </w:rPr>
        <w:t xml:space="preserve">In addition to meeting the registration approval criteria in rule </w:t>
      </w:r>
      <w:hyperlink r:id="rId19">
        <w:r>
          <w:rPr>
            <w:rStyle w:val="Hyperlink"/>
            <w:rFonts w:ascii="Times New Roman" w:hAnsi="Times New Roman"/>
            <w:b w:val="false"/>
            <w:i w:val="false"/>
            <w:color w:val="000000"/>
            <w:sz w:val="22"/>
          </w:rPr>
          <w:t>283—21.3</w:t>
        </w:r>
      </w:hyperlink>
      <w:r>
        <w:rPr>
          <w:rFonts w:ascii="Times New Roman" w:hAnsi="Times New Roman"/>
          <w:b w:val="false"/>
          <w:i w:val="false"/>
          <w:color w:val="000000"/>
          <w:sz w:val="22"/>
        </w:rPr>
        <w:t>(261B,261G), a school that applies for registration to operate a campus, branch campus, student services center, or administrative office at a fixed location in Iowa shall meet all of the following additional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school employs at least one full-time Iowa faculty member or one program or student services coordinator devoted to Iowa students.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school provides to the commission the name of and business contact information for a contact person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 school demonstrates that it has adequate physical facilities located in Iowa appropriate for the programs and services offered.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283—21.5</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Additional criteria for an out-of-state applicant school that applies for registration to offer programs via in-person instruction but in a nontraditional format.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meeting the approval criteria in rule </w:t>
      </w:r>
      <w:hyperlink r:id="rId20">
        <w:r>
          <w:rPr>
            <w:rStyle w:val="Hyperlink"/>
            <w:rFonts w:ascii="Times New Roman" w:hAnsi="Times New Roman"/>
            <w:b w:val="false"/>
            <w:i w:val="false"/>
            <w:color w:val="000000"/>
            <w:sz w:val="22"/>
          </w:rPr>
          <w:t>283—21.3</w:t>
        </w:r>
      </w:hyperlink>
      <w:r>
        <w:rPr>
          <w:rFonts w:ascii="Times New Roman" w:hAnsi="Times New Roman"/>
          <w:b w:val="false"/>
          <w:i w:val="false"/>
          <w:color w:val="000000"/>
          <w:sz w:val="22"/>
        </w:rPr>
        <w:t xml:space="preserve">(261B,261G), an out-of-state school that applies for registration to offer programs via in-person instruction but in a nontraditional format shall notify the commission in writing within 90 days of the date that the school establishes a new Iowa location at which Iowa students will receive instruction in the school’s nontraditional program. Notification to the commission via electronic mail is acceptable. If the school’s accrediting agency requires preapproval of the new Iowa location, the school’s notice to the commission must include a copy of that accrediting agency’s approval. If the school’s accrediting agency does not require preapproval of the new Iowa location, the school must certify that accrediting agency approval is not required. Such a school is not required to submit a registration amendment request under subrule </w:t>
      </w:r>
      <w:hyperlink r:id="rId21">
        <w:r>
          <w:rPr>
            <w:rStyle w:val="Hyperlink"/>
            <w:rFonts w:ascii="Times New Roman" w:hAnsi="Times New Roman"/>
            <w:b w:val="false"/>
            <w:i w:val="false"/>
            <w:color w:val="000000"/>
            <w:sz w:val="22"/>
          </w:rPr>
          <w:t>21.3(12)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“nontraditional format”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offered partially via distance education and partially via in-person instruction at a location in Iowa by faculty or instructors compensated by the applicant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offered partially at the applicant school’s out-of-state campus and partially via in-person instruction at a location in Iowa by faculty or instructors compensated by the applicant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offered at a location in Iowa through compressed courses scheduled on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offered only during the summer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program offered at temporary locations in Iowa where the school identifies cohorts of students who have expressed interest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283—21.6</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Additional approval criteria and exception for an out-of-state applicant school that applies for registration to offer distance education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out-of-state school offering distance education programs is not required to register in Iowa if its home state approves the school to participate in a commission-approved interstate reciprocity agreement. If an out-of-state applicant school providing distance education programs in Iowa is not approved by the school’s home state to participate in a commission-approved interstate reciprocity agreement, in addition to meeting the approval criteria in rule </w:t>
      </w:r>
      <w:hyperlink r:id="rId22">
        <w:r>
          <w:rPr>
            <w:rStyle w:val="Hyperlink"/>
            <w:rFonts w:ascii="Times New Roman" w:hAnsi="Times New Roman"/>
            <w:b w:val="false"/>
            <w:i w:val="false"/>
            <w:color w:val="000000"/>
            <w:sz w:val="22"/>
          </w:rPr>
          <w:t>283—21.3</w:t>
        </w:r>
      </w:hyperlink>
      <w:r>
        <w:rPr>
          <w:rFonts w:ascii="Times New Roman" w:hAnsi="Times New Roman"/>
          <w:b w:val="false"/>
          <w:i w:val="false"/>
          <w:color w:val="000000"/>
          <w:sz w:val="22"/>
        </w:rPr>
        <w:t>(261B,261G), the out-of-state applicant school shall meet all of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school discloses the name and business contact information of any person compensated by the school (including by honorarium) to remotely provide instruction or academic supervision in the school’s distance education courses from any 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school discloses the name, business contact information, and duties of any person the applicant school compensates to remotely perform operational activities from any 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If a school applies for registration solely to offer distance education programs that include a structured field experience in which the student will participate at an Iowa location and the applicant school maintains no other presence in Iowa as defined in Iowa Code section </w:t>
      </w:r>
      <w:hyperlink r:id="rId23">
        <w:r>
          <w:rPr>
            <w:rStyle w:val="Hyperlink"/>
            <w:rFonts w:ascii="Times New Roman" w:hAnsi="Times New Roman"/>
            <w:b w:val="false"/>
            <w:i w:val="false"/>
            <w:color w:val="000000"/>
            <w:sz w:val="22"/>
          </w:rPr>
          <w:t>261B.2</w:t>
        </w:r>
      </w:hyperlink>
      <w:r>
        <w:rPr>
          <w:rFonts w:ascii="Times New Roman" w:hAnsi="Times New Roman"/>
          <w:b w:val="false"/>
          <w:i w:val="false"/>
          <w:color w:val="000000"/>
          <w:sz w:val="22"/>
        </w:rPr>
        <w:t xml:space="preserve">, the school is not required to implement a policy that complies with Iowa Code section </w:t>
      </w:r>
      <w:hyperlink r:id="rId24">
        <w:r>
          <w:rPr>
            <w:rStyle w:val="Hyperlink"/>
            <w:rFonts w:ascii="Times New Roman" w:hAnsi="Times New Roman"/>
            <w:b w:val="false"/>
            <w:i w:val="false"/>
            <w:color w:val="000000"/>
            <w:sz w:val="22"/>
          </w:rPr>
          <w:t>261.9(1)</w:t>
        </w:r>
        <w:r>
          <w:rPr>
            <w:rFonts w:ascii="Times New Roman" w:hAnsi="Times New Roman"/>
            <w:b w:val="false"/>
            <w:i/>
            <w:color w:val="000000"/>
            <w:sz w:val="22"/>
          </w:rPr>
          <w:t>“h.”</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283—21.7</w:t>
      </w:r>
      <w:r>
        <w:rPr>
          <w:rFonts w:ascii="Times New Roman" w:hAnsi="Times New Roman"/>
          <w:b/>
          <w:i w:val="false"/>
          <w:color w:val="000000"/>
          <w:sz w:val="22"/>
        </w:rPr>
        <w:t xml:space="preserve">(261B,261G) </w:t>
      </w:r>
      <w:r>
        <w:rPr>
          <w:rFonts w:ascii="Times New Roman" w:hAnsi="Times New Roman"/>
          <w:b/>
          <w:i w:val="false"/>
          <w:color w:val="000000"/>
          <w:sz w:val="22"/>
        </w:rPr>
        <w:t xml:space="preserve">Recruiting for an out-of-state applicant school’s residential programs from an Iowa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 xml:space="preserve">An out-of-state applicant school that compensates a party to recruit Iowans for its campus-based, residential programs shall apply for registration if the recruiter maintains an Iowa address. In addition to meeting all of the criteria in rule </w:t>
      </w:r>
      <w:hyperlink r:id="rId25">
        <w:r>
          <w:rPr>
            <w:rStyle w:val="Hyperlink"/>
            <w:rFonts w:ascii="Times New Roman" w:hAnsi="Times New Roman"/>
            <w:b w:val="false"/>
            <w:i w:val="false"/>
            <w:color w:val="000000"/>
            <w:sz w:val="22"/>
          </w:rPr>
          <w:t>283—21.3</w:t>
        </w:r>
      </w:hyperlink>
      <w:r>
        <w:rPr>
          <w:rFonts w:ascii="Times New Roman" w:hAnsi="Times New Roman"/>
          <w:b w:val="false"/>
          <w:i w:val="false"/>
          <w:color w:val="000000"/>
          <w:sz w:val="22"/>
        </w:rPr>
        <w:t>(261B,261G), the applicant school shall disclose the name of and business contact information for its Iowa-based recruiter.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An out-of-state applicant school that compensates a person to recruit students for its campus-based, residential programs is not required to apply for registration if the school’s recruitment activities at a location in Iowa are occasional and short-term; for example, at a college fair or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283—21.8</w:t>
      </w:r>
      <w:r>
        <w:rPr>
          <w:rFonts w:ascii="Times New Roman" w:hAnsi="Times New Roman"/>
          <w:b/>
          <w:i w:val="false"/>
          <w:color w:val="000000"/>
          <w:sz w:val="22"/>
        </w:rPr>
        <w:t xml:space="preserve">(261B,261G) </w:t>
      </w:r>
      <w:r>
        <w:rPr>
          <w:rFonts w:ascii="Times New Roman" w:hAnsi="Times New Roman"/>
          <w:b/>
          <w:i w:val="false"/>
          <w:color w:val="000000"/>
          <w:sz w:val="22"/>
        </w:rPr>
        <w:t xml:space="preserve">Provisional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provisional registration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out-of-state applicant school is accredited by an entity or organization recognized by the United States Department of Education or its successor agency at the time the school submits its registration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school must obtain the commission’s approval before the school’s accrediting agency will consider approving the applicant school to operate at a physical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val="false"/>
          <w:color w:val="000000"/>
          <w:sz w:val="22"/>
        </w:rPr>
        <w:t>The commission may prohibit the school from initiating instruction at a location in Iowa until the school obtains its accrediting agency’s approval to operate at an Iowa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283—21.9</w:t>
      </w:r>
      <w:r>
        <w:rPr>
          <w:rFonts w:ascii="Times New Roman" w:hAnsi="Times New Roman"/>
          <w:b/>
          <w:i w:val="false"/>
          <w:color w:val="000000"/>
          <w:sz w:val="22"/>
        </w:rPr>
        <w:t xml:space="preserve">(261B,261G) </w:t>
      </w:r>
      <w:r>
        <w:rPr>
          <w:rFonts w:ascii="Times New Roman" w:hAnsi="Times New Roman"/>
          <w:b/>
          <w:i w:val="false"/>
          <w:color w:val="000000"/>
          <w:sz w:val="22"/>
        </w:rPr>
        <w:t xml:space="preserve">Duration of registration; application for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val="false"/>
          <w:color w:val="000000"/>
          <w:sz w:val="22"/>
        </w:rPr>
        <w:t>Upon approval by the commission, an applicant school is registered for a period of two calendar years, contingent upon the school’s compliance with commission requirements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val="false"/>
          <w:color w:val="000000"/>
          <w:sz w:val="22"/>
        </w:rPr>
        <w:t>A registered school shall submit a completed registration renewal application to the commission at least six months before the ending date of the school’s current registration term. A school is solely responsible for submitting a timely renewal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283—21.10</w:t>
      </w:r>
      <w:r>
        <w:rPr>
          <w:rFonts w:ascii="Times New Roman" w:hAnsi="Times New Roman"/>
          <w:b/>
          <w:i w:val="false"/>
          <w:color w:val="000000"/>
          <w:sz w:val="22"/>
        </w:rPr>
        <w:t xml:space="preserve">(261B,261G) </w:t>
      </w:r>
      <w:r>
        <w:rPr>
          <w:rFonts w:ascii="Times New Roman" w:hAnsi="Times New Roman"/>
          <w:b/>
          <w:i w:val="false"/>
          <w:color w:val="000000"/>
          <w:sz w:val="22"/>
        </w:rPr>
        <w:t xml:space="preserve">Limitation, denial, or revocation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val="false"/>
          <w:color w:val="000000"/>
          <w:sz w:val="22"/>
        </w:rPr>
        <w:t>At the time of initial registration or registration renewal and during a registration term, the commission may take action that includes, but is not limited to, limiting a school’s program offerings or enrollment or denying or revoking the school’s registration as a result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adverse notice, warning, or other sanction issued by the school’s accrediting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adverse action or sanction issued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lawsuit filed by a state agency, a state attorney general’s office, or another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judgment issued by a state attorney general’s office or another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for-profit school’s most recently calculated percentage of revenue derived from funds received under Title IV of the Higher Education Act of 1965, as amended, that exceeds the threshold established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Repeated complaints about a school received from the school’s students by the commission, by another state, or by a state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Notice that the school has experienced a change of ownership or governance. The school shall notify the commission no later than 30 calendar days after the change in ownership or governance.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due to the commission in accordance with rule </w:t>
      </w:r>
      <w:hyperlink r:id="rId26">
        <w:r>
          <w:rPr>
            <w:rStyle w:val="Hyperlink"/>
            <w:rFonts w:ascii="Times New Roman" w:hAnsi="Times New Roman"/>
            <w:b w:val="false"/>
            <w:i w:val="false"/>
            <w:color w:val="000000"/>
            <w:sz w:val="22"/>
          </w:rPr>
          <w:t>283—21.12</w:t>
        </w:r>
      </w:hyperlink>
      <w:r>
        <w:rPr>
          <w:rFonts w:ascii="Times New Roman" w:hAnsi="Times New Roman"/>
          <w:b w:val="false"/>
          <w:i w:val="false"/>
          <w:color w:val="000000"/>
          <w:sz w:val="22"/>
        </w:rPr>
        <w:t>(261B,261G).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actions deemed by the commission as significant evidence that the school should not be allowed to operate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283—21.11</w:t>
      </w:r>
      <w:r>
        <w:rPr>
          <w:rFonts w:ascii="Times New Roman" w:hAnsi="Times New Roman"/>
          <w:b/>
          <w:i w:val="false"/>
          <w:color w:val="000000"/>
          <w:sz w:val="22"/>
        </w:rPr>
        <w:t xml:space="preserve">(261B,261G) </w:t>
      </w:r>
      <w:r>
        <w:rPr>
          <w:rFonts w:ascii="Times New Roman" w:hAnsi="Times New Roman"/>
          <w:b/>
          <w:i w:val="false"/>
          <w:color w:val="000000"/>
          <w:sz w:val="22"/>
        </w:rPr>
        <w:t xml:space="preserve">School, Iowa site, or program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val="false"/>
          <w:color w:val="000000"/>
          <w:sz w:val="22"/>
        </w:rPr>
        <w:t>No later than 90 days before a registered school takes action to discontinue a program that is offered by the school under its registration, close an Iowa site, or close the school, the school must notify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val="false"/>
          <w:color w:val="000000"/>
          <w:sz w:val="22"/>
        </w:rPr>
        <w:t>The school’s notice to the commission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residential address, telephone number, email address, program name, and anticipated graduation date of affected Iowa resident students or, as applicable, affected students at the school’s Iowa campus(es). The school shall organize this list in alphabetical order by student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the school’s proposed notice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school’s specific plan to provide alternatives for affected students to complete the programs offered under the school’s registration in accordance with the agreement described in subrule </w:t>
      </w:r>
      <w:hyperlink r:id="rId27">
        <w:r>
          <w:rPr>
            <w:rStyle w:val="Hyperlink"/>
            <w:rFonts w:ascii="Times New Roman" w:hAnsi="Times New Roman"/>
            <w:b w:val="false"/>
            <w:i w:val="false"/>
            <w:color w:val="000000"/>
            <w:sz w:val="22"/>
          </w:rPr>
          <w:t>21.3(15)</w:t>
        </w:r>
      </w:hyperlink>
      <w:r>
        <w:rPr>
          <w:rFonts w:ascii="Times New Roman" w:hAnsi="Times New Roman"/>
          <w:b w:val="false"/>
          <w:i w:val="false"/>
          <w:color w:val="000000"/>
          <w:sz w:val="22"/>
        </w:rPr>
        <w:t>. The school shall obtain the prior approval of the commission for any agreement the school proposes to establish with another institution that provides completion alternatives for programs the school offered under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school’s plan for permanent storage and retrieval of student transcript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Specific information about how the school will provide transitional support to affected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Contact information for the specific entity and individual who will accept responsibility for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Ensuring that unearned federal student aid is returned to the United States Department of Education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Finalizing student account records and providing copies of the students’ final account statements to the students and, upon request,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Collecting outstanding bills a student owes to the school for tuition and other educational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Collecting on private education loans or other institutional loans made to students by the school and, if applicable, the school’s private preferred lender(s).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require a registered school that has a continuous corporate surety bond in effect pursuant to Iowa Code section </w:t>
      </w:r>
      <w:hyperlink r:id="rId28">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to maintain the bond, at minimum, for one year after the school ceases operation in Iowa, closes an Iowa site, or ceases new enrollment in programs previously offered to Iowa resident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takes action to discontinue a school’s program, close a school’s Iowa site, or terminate a school’s operation in Iowa, the school shall provide to the commission the information in subrule </w:t>
      </w:r>
      <w:hyperlink r:id="rId29">
        <w:r>
          <w:rPr>
            <w:rStyle w:val="Hyperlink"/>
            <w:rFonts w:ascii="Times New Roman" w:hAnsi="Times New Roman"/>
            <w:b w:val="false"/>
            <w:i w:val="false"/>
            <w:color w:val="000000"/>
            <w:sz w:val="22"/>
          </w:rPr>
          <w:t>21.11(2)</w:t>
        </w:r>
      </w:hyperlink>
      <w:r>
        <w:rPr>
          <w:rFonts w:ascii="Times New Roman" w:hAnsi="Times New Roman"/>
          <w:b w:val="false"/>
          <w:i w:val="false"/>
          <w:color w:val="000000"/>
          <w:sz w:val="22"/>
        </w:rPr>
        <w:t xml:space="preserve"> and shall be subject to the requirements of subrule </w:t>
      </w:r>
      <w:hyperlink r:id="rId30">
        <w:r>
          <w:rPr>
            <w:rStyle w:val="Hyperlink"/>
            <w:rFonts w:ascii="Times New Roman" w:hAnsi="Times New Roman"/>
            <w:b w:val="false"/>
            <w:i w:val="false"/>
            <w:color w:val="000000"/>
            <w:sz w:val="22"/>
          </w:rPr>
          <w:t>21.11(3)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283—21.12</w:t>
      </w:r>
      <w:r>
        <w:rPr>
          <w:rFonts w:ascii="Times New Roman" w:hAnsi="Times New Roman"/>
          <w:b/>
          <w:i w:val="false"/>
          <w:color w:val="000000"/>
          <w:sz w:val="22"/>
        </w:rPr>
        <w:t xml:space="preserve">(261B,261G) </w:t>
      </w:r>
      <w:r>
        <w:rPr>
          <w:rFonts w:ascii="Times New Roman" w:hAnsi="Times New Roman"/>
          <w:b/>
          <w:i w:val="false"/>
          <w:color w:val="000000"/>
          <w:sz w:val="22"/>
        </w:rPr>
        <w:t xml:space="preserve">Initial registration application fees and subsequent annual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that applies for initial registration as required under Iowa Code chapter </w:t>
      </w:r>
      <w:hyperlink r:id="rId31">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shall remit an initial registration application fee payable to the commission in the amount of $5,000. This fee is nonrefundable regardless of the commission’s decision with respect to the school’s eligibility for registration in Iowa. A school that fails to pay the initial registration application fee shall be denied initial registration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that is approved for registration shall remit an annual fee payable to the commission in the amount due on July 15 of each year. If a school’s registration terminates during a year, the school shall pay the annual fee to the commission if the school’s registration is valid as of July 15 of that year. The annual fee is nonrefundable and will be assessed based on a school’s full-time equivalent (FTE) enrollment as follows: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 2,500 FTE – $2,000.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2,500 to 9,999 FTE – $4,000.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10,000 FTE or more – $6,000.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that registers and pays fees under rule </w:t>
      </w:r>
      <w:hyperlink r:id="rId32">
        <w:r>
          <w:rPr>
            <w:rStyle w:val="Hyperlink"/>
            <w:rFonts w:ascii="Times New Roman" w:hAnsi="Times New Roman"/>
            <w:b w:val="false"/>
            <w:i w:val="false"/>
            <w:color w:val="000000"/>
            <w:sz w:val="22"/>
          </w:rPr>
          <w:t>283—21.12</w:t>
        </w:r>
      </w:hyperlink>
      <w:r>
        <w:rPr>
          <w:rFonts w:ascii="Times New Roman" w:hAnsi="Times New Roman"/>
          <w:b w:val="false"/>
          <w:i w:val="false"/>
          <w:color w:val="000000"/>
          <w:sz w:val="22"/>
        </w:rPr>
        <w:t xml:space="preserve">(261B,261G) is not required to pay fees under rule </w:t>
      </w:r>
      <w:hyperlink r:id="rId33">
        <w:r>
          <w:rPr>
            <w:rStyle w:val="Hyperlink"/>
            <w:rFonts w:ascii="Times New Roman" w:hAnsi="Times New Roman"/>
            <w:b w:val="false"/>
            <w:i w:val="false"/>
            <w:color w:val="000000"/>
            <w:sz w:val="22"/>
          </w:rPr>
          <w:t>283—21.15</w:t>
        </w:r>
      </w:hyperlink>
      <w:r>
        <w:rPr>
          <w:rFonts w:ascii="Times New Roman" w:hAnsi="Times New Roman"/>
          <w:b w:val="false"/>
          <w:i w:val="false"/>
          <w:color w:val="000000"/>
          <w:sz w:val="22"/>
        </w:rPr>
        <w:t>(261B,261G) if participating in the interstate reciprocity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283—21.13</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Authorization to operate in Iowa for certain nonpublic, nonprofit colleges and universities exempt from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Iowa considers a nonpublic, nonprofit institution located in Iowa, which qualifies for an exemption from registration under Iowa Code section </w:t>
      </w:r>
      <w:hyperlink r:id="rId34">
        <w:r>
          <w:rPr>
            <w:rStyle w:val="Hyperlink"/>
            <w:rFonts w:ascii="Times New Roman" w:hAnsi="Times New Roman"/>
            <w:b w:val="false"/>
            <w:i w:val="false"/>
            <w:color w:val="000000"/>
            <w:sz w:val="22"/>
          </w:rPr>
          <w:t>261B.11(1)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to be authorized to lawfully operate in Iowa as a postsecondary educational institution that grants a degree, diploma, or certificate for the purpose of state authorization regulations established by the United States Department of Education, provided the institution meets the following additional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institution is exempt from federal taxation under Section 501(c)(3) of the Internal Revenue Code on or after July 1, 2013;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 originated in this state and has undergone no change in ownership or control since July 1,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Iowa colleges and universities are authorized under subrule </w:t>
      </w:r>
      <w:hyperlink r:id="rId35">
        <w:r>
          <w:rPr>
            <w:rStyle w:val="Hyperlink"/>
            <w:rFonts w:ascii="Times New Roman" w:hAnsi="Times New Roman"/>
            <w:b w:val="false"/>
            <w:i w:val="false"/>
            <w:color w:val="000000"/>
            <w:sz w:val="22"/>
          </w:rPr>
          <w:t>21.13(1)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Allen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Briar Cliff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Buena Vista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Central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Clarke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Cornell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 Moines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Divine Word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Dordt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Drake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Emmaus Bible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Faith Baptist Bible College and Theological Seminary;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Graceland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Grand View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Grinnell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Iowa Wesleyan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Loras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Luther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Maharishi University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Mercy College of Health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Mercy St. Luke’s School of Radiologic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Morningside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Mount Mercy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Northwestern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Palmer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Simpson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St. Ambrose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St. Luke’s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Unity Point Health – Des Moines School of Radiologic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University of Dubuque;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Upper Iowa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Wartburg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Wartburg Theological Seminary;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William Penn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283—21.14</w:t>
      </w:r>
      <w:r>
        <w:rPr>
          <w:rFonts w:ascii="Times New Roman" w:hAnsi="Times New Roman"/>
          <w:b/>
          <w:i w:val="false"/>
          <w:color w:val="000000"/>
          <w:sz w:val="22"/>
        </w:rPr>
        <w:t xml:space="preserve">(261B,261G) </w:t>
      </w:r>
      <w:r>
        <w:rPr>
          <w:rFonts w:ascii="Times New Roman" w:hAnsi="Times New Roman"/>
          <w:b/>
          <w:i w:val="false"/>
          <w:color w:val="000000"/>
          <w:sz w:val="22"/>
        </w:rPr>
        <w:t xml:space="preserve">Verification of exemption from registration to operate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claiming an exemption from registration under Iowa Code chapter </w:t>
      </w:r>
      <w:hyperlink r:id="rId36">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shall demonstrate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provides the reference under which it requests exemption from registration under Iowa Code section </w:t>
      </w:r>
      <w:hyperlink r:id="rId37">
        <w:r>
          <w:rPr>
            <w:rStyle w:val="Hyperlink"/>
            <w:rFonts w:ascii="Times New Roman" w:hAnsi="Times New Roman"/>
            <w:b w:val="false"/>
            <w:i w:val="false"/>
            <w:color w:val="000000"/>
            <w:sz w:val="22"/>
          </w:rPr>
          <w:t>261B.11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school offers a course of instruction leading to a degree, with the exception of a school that qualifies for an exemption under Iowa Code section </w:t>
      </w:r>
      <w:hyperlink r:id="rId38">
        <w:r>
          <w:rPr>
            <w:rStyle w:val="Hyperlink"/>
            <w:rFonts w:ascii="Times New Roman" w:hAnsi="Times New Roman"/>
            <w:b w:val="false"/>
            <w:i w:val="false"/>
            <w:color w:val="000000"/>
            <w:sz w:val="22"/>
          </w:rPr>
          <w:t>261B.11(1)</w:t>
        </w:r>
        <w:r>
          <w:rPr>
            <w:rFonts w:ascii="Times New Roman" w:hAnsi="Times New Roman"/>
            <w:b w:val="false"/>
            <w:i/>
            <w:color w:val="000000"/>
            <w:sz w:val="22"/>
          </w:rPr>
          <w:t>“h,”</w:t>
        </w:r>
      </w:hyperlink>
      <w:r>
        <w:rPr>
          <w:rFonts w:ascii="Times New Roman" w:hAnsi="Times New Roman"/>
          <w:b w:val="false"/>
          <w:i w:val="false"/>
          <w:color w:val="000000"/>
          <w:sz w:val="22"/>
        </w:rPr>
        <w:t xml:space="preserve"> the school is accredited by an accrediting agency recognized by the United States Department of Education and will notify the commission of any negative changes to its accrediting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has a policy that prohibits unlawful possession, use, or distribution of controlled substances by students and employees on school-owned or -leased property or in conjunction with activities sponsored by the school. The school will provide information about the policy to all students and employees, including any sanctions for violation of the policy and any substance abuse prevention programs for students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has a policy addressing sexual abuse including counseling, campus security, education, and facilitating accurate and prompt reporting of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school has an employee policy for reporting suspected incidents of child physical or sexual abuse that includes individuals whom the school compensates to conduct activities on the school’s behalf at an 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has a military refund policy for students who are members of the Iowa national guard or reserve forces of the United States and the spouses of such members if the members have dependent children when the members are ordered into active duty as required by Iowa Code sections </w:t>
      </w:r>
      <w:hyperlink r:id="rId39">
        <w:r>
          <w:rPr>
            <w:rStyle w:val="Hyperlink"/>
            <w:rFonts w:ascii="Times New Roman" w:hAnsi="Times New Roman"/>
            <w:b w:val="false"/>
            <w:i w:val="false"/>
            <w:color w:val="000000"/>
            <w:sz w:val="22"/>
          </w:rPr>
          <w:t>261.9(1)</w:t>
        </w:r>
        <w:r>
          <w:rPr>
            <w:rFonts w:ascii="Times New Roman" w:hAnsi="Times New Roman"/>
            <w:b w:val="false"/>
            <w:i/>
            <w:color w:val="000000"/>
            <w:sz w:val="22"/>
          </w:rPr>
          <w:t>“g,”</w:t>
        </w:r>
      </w:hyperlink>
      <w:hyperlink r:id="rId40">
        <w:r>
          <w:rPr>
            <w:rStyle w:val="Hyperlink"/>
            <w:rFonts w:ascii="Times New Roman" w:hAnsi="Times New Roman"/>
            <w:b w:val="false"/>
            <w:i w:val="false"/>
            <w:color w:val="000000"/>
            <w:sz w:val="22"/>
          </w:rPr>
          <w:t>262.9(30)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260C.14(20)</w:t>
        </w:r>
      </w:hyperlink>
      <w:r>
        <w:rPr>
          <w:rFonts w:ascii="Times New Roman" w:hAnsi="Times New Roman"/>
          <w:b w:val="false"/>
          <w:i w:val="false"/>
          <w:color w:val="000000"/>
          <w:sz w:val="22"/>
        </w:rPr>
        <w:t>. The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Withdrawal from all or a portion of the student’s registration and receipt of a full refund of tuition and mandatory fees that the school assessed for courses from which the student withdrew. For a program in which a student’s academic progress is measured only in clock hours, the school shall provide a full refund of tuition and mandatory fees to a student who withdraws and who requests that benefit for the payment period in which the student withdrew. The payment period is determined under rules promulgated by the United States Department of Education for the disbursement of federal Stafford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arrangements for instructors to report grades or report incomplete grades that will be completed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school posts a list of required and suggested textbooks for all courses and corresponding international standard book numbers for such textbooks at least 14 days before the start of each semester or term at the locations where textbooks are sold on campus and on the school’s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school has procedures for preservation of student records and the contact information to be used by students and graduates who seek to obtain transcript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covered institution under Iowa Code chapter </w:t>
      </w:r>
      <w:hyperlink r:id="rId42">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has a code of conduct that complies with Iowa Code section </w:t>
      </w:r>
      <w:hyperlink r:id="rId43">
        <w:r>
          <w:rPr>
            <w:rStyle w:val="Hyperlink"/>
            <w:rFonts w:ascii="Times New Roman" w:hAnsi="Times New Roman"/>
            <w:b w:val="false"/>
            <w:i w:val="false"/>
            <w:color w:val="000000"/>
            <w:sz w:val="22"/>
          </w:rPr>
          <w:t>261F.2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covered institution under Iowa Code chapter </w:t>
      </w:r>
      <w:hyperlink r:id="rId44">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with a preferred lender list meets the requirements of Iowa Code section </w:t>
      </w:r>
      <w:hyperlink r:id="rId45">
        <w:r>
          <w:rPr>
            <w:rStyle w:val="Hyperlink"/>
            <w:rFonts w:ascii="Times New Roman" w:hAnsi="Times New Roman"/>
            <w:b w:val="false"/>
            <w:i w:val="false"/>
            <w:color w:val="000000"/>
            <w:sz w:val="22"/>
          </w:rPr>
          <w:t>261F.6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school provides the commission with the name of and business contact information for a person whom the school designates to receive student complaints from the commission and coordinate the school’s response. The commission will provide a link to a page on its website for students to use to seek additional information about a school or to file a complaint about a school. A school that is approved for an exemption from registration will prominently provide on its website the link to the commission’s web page for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nonpublic school must provide evidence of financial responsibility under Iowa Code section </w:t>
      </w:r>
      <w:hyperlink r:id="rId46">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or demonstrate eligibility for an exemption under Iowa Code section </w:t>
      </w:r>
      <w:hyperlink r:id="rId47">
        <w:r>
          <w:rPr>
            <w:rStyle w:val="Hyperlink"/>
            <w:rFonts w:ascii="Times New Roman" w:hAnsi="Times New Roman"/>
            <w:b w:val="false"/>
            <w:i w:val="false"/>
            <w:color w:val="000000"/>
            <w:sz w:val="22"/>
          </w:rPr>
          <w:t>714.19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val="false"/>
          <w:color w:val="000000"/>
          <w:sz w:val="22"/>
        </w:rPr>
        <w:t xml:space="preserve">A for-profit school must demonstrate and maintain compliance with Iowa Code section </w:t>
      </w:r>
      <w:hyperlink r:id="rId48">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The school shall apply the policy it adopts under Iowa Code section </w:t>
      </w:r>
      <w:hyperlink r:id="rId49">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to students who attend its campus(es) in Iowa, if applicable, as well as to Iowa resident students who attend distance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21.14(4)</w:t>
      </w:r>
      <w:r>
        <w:rPr>
          <w:rFonts w:ascii="Times New Roman" w:hAnsi="Times New Roman"/>
          <w:b w:val="false"/>
          <w:i w:val="false"/>
          <w:color w:val="000000"/>
          <w:sz w:val="22"/>
        </w:rPr>
        <w:t> </w:t>
      </w:r>
      <w:r>
        <w:rPr>
          <w:rFonts w:ascii="Times New Roman" w:hAnsi="Times New Roman"/>
          <w:b w:val="false"/>
          <w:i w:val="false"/>
          <w:color w:val="000000"/>
          <w:sz w:val="22"/>
        </w:rPr>
        <w:t xml:space="preserve">A for-profit school that does not participate in the student financial assistance programs administered by the United States Department of Education must demonstrate and maintain compliance with Iowa Code section </w:t>
      </w:r>
      <w:hyperlink r:id="rId50">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283—21.15</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Approval criteria for a school seeking to participate or renew participation in a commission-approved interstate reciprocity agreement under Iowa Code chapter </w:t>
      </w:r>
      <w:hyperlink r:id="rId51">
        <w:r>
          <w:rPr>
            <w:rStyle w:val="Hyperlink"/>
            <w:rFonts w:ascii="Times New Roman" w:hAnsi="Times New Roman"/>
            <w:b/>
            <w:i w:val="false"/>
            <w:color w:val="000000"/>
            <w:sz w:val="22"/>
          </w:rPr>
          <w:t>261G</w:t>
        </w:r>
      </w:hyperlink>
      <w:r>
        <w:rPr>
          <w:rFonts w:ascii="Times New Roman" w:hAnsi="Times New Roman"/>
          <w:b/>
          <w:i w:val="false"/>
          <w:color w:val="000000"/>
          <w:sz w:val="22"/>
        </w:rPr>
        <w:t xml:space="preserve">. </w:t>
      </w:r>
      <w:r>
        <w:rPr>
          <w:rFonts w:ascii="Times New Roman" w:hAnsi="Times New Roman"/>
          <w:b w:val="false"/>
          <w:i w:val="false"/>
          <w:color w:val="000000"/>
          <w:sz w:val="22"/>
        </w:rPr>
        <w:t>A school that applies to participate in a commission-approved interstate reciprocity agreement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school shall be in compliance with Iowa Code chapter </w:t>
      </w:r>
      <w:hyperlink r:id="rId52">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val="false"/>
          <w:color w:val="000000"/>
          <w:sz w:val="22"/>
        </w:rPr>
        <w:t>The applicant school shall submit an institutional participation application as required by the commission-approved interstate reciprocity agreement. The application shall be signed by the school’s chief executive officer or chief academic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val="false"/>
          <w:color w:val="000000"/>
          <w:sz w:val="22"/>
        </w:rPr>
        <w:t>A nonpublic applicant school must submit evidence that its most recent, official financial responsibility composite score, as calculated using the method prescribed by the United States Department of Education, is at least 1.5. A school demonstrates that its financial responsibility composite score is official by providing written confirmation of its composite score from the United States Department of Education. In accordance with policies established by the interstate reciprocity agreement administrator, the commission shall determine the official financial responsibility composite score for a school that does not participate in the postsecondary student financial aid programs authorized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consider the application of a nonpublic school whose most recent, official financial responsibility composite score is between 1.0 and 1.49. The applicant school must submit a copy of the school’s most recently audited financial statements accompanied by a written explanation of the circumstances that caused the school’s composite score to be below 1.5 and the school’s plan to raise its composite score to 1.5 within a time frame determined by the commission. The commission may approve, provisionally approve, or deny the school’s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val="false"/>
          <w:color w:val="000000"/>
          <w:sz w:val="22"/>
        </w:rPr>
        <w:t xml:space="preserve">A for-profit applicant school must demonstrate and maintain compliance with Iowa Code sections </w:t>
      </w:r>
      <w:hyperlink r:id="rId53">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The school shall apply the policy it adopts under Iowa Code section </w:t>
      </w:r>
      <w:hyperlink r:id="rId55">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to students who attend its campus(es) in Iowa and to Iowa resident and nonresident students who attend distance education programs the school offers under the commission-approved interstate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school shall demonstrate that the military deployment tuition and fee refund policy required under Iowa Code sections </w:t>
      </w:r>
      <w:hyperlink r:id="rId56">
        <w:r>
          <w:rPr>
            <w:rStyle w:val="Hyperlink"/>
            <w:rFonts w:ascii="Times New Roman" w:hAnsi="Times New Roman"/>
            <w:b w:val="false"/>
            <w:i w:val="false"/>
            <w:color w:val="000000"/>
            <w:sz w:val="22"/>
          </w:rPr>
          <w:t>261.9(1)</w:t>
        </w:r>
      </w:hyperlink>
      <w:r>
        <w:rPr>
          <w:rFonts w:ascii="Times New Roman" w:hAnsi="Times New Roman"/>
          <w:b w:val="false"/>
          <w:i/>
          <w:color w:val="000000"/>
          <w:sz w:val="22"/>
        </w:rPr>
        <w:t>“g,”</w:t>
      </w:r>
      <w:r>
        <w:rPr>
          <w:rFonts w:ascii="Times New Roman" w:hAnsi="Times New Roman"/>
          <w:b w:val="false"/>
          <w:i w:val="false"/>
          <w:color w:val="000000"/>
          <w:sz w:val="22"/>
        </w:rPr>
        <w:t> </w:t>
      </w:r>
      <w:hyperlink r:id="rId57">
        <w:r>
          <w:rPr>
            <w:rStyle w:val="Hyperlink"/>
            <w:rFonts w:ascii="Times New Roman" w:hAnsi="Times New Roman"/>
            <w:b w:val="false"/>
            <w:i w:val="false"/>
            <w:color w:val="000000"/>
            <w:sz w:val="22"/>
          </w:rPr>
          <w:t>262.9(30)</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260C.14(20)</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subrule 21.3(5)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paragraph 21.14(1)</w:t>
        </w:r>
        <w:r>
          <w:rPr>
            <w:rFonts w:ascii="Times New Roman" w:hAnsi="Times New Roman"/>
            <w:b w:val="false"/>
            <w:i/>
            <w:color w:val="000000"/>
            <w:sz w:val="22"/>
          </w:rPr>
          <w:t>“f”</w:t>
        </w:r>
      </w:hyperlink>
      <w:r>
        <w:rPr>
          <w:rFonts w:ascii="Times New Roman" w:hAnsi="Times New Roman"/>
          <w:b w:val="false"/>
          <w:i w:val="false"/>
          <w:color w:val="000000"/>
          <w:sz w:val="22"/>
        </w:rPr>
        <w:t xml:space="preserve"> applies to students who attend its campus(es) in Iowa and to Iowa resident and nonresident students who attend distance education programs the school offers under the commission-approved interstate reciprocity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21.15(7)</w:t>
      </w:r>
      <w:r>
        <w:rPr>
          <w:rFonts w:ascii="Times New Roman" w:hAnsi="Times New Roman"/>
          <w:b w:val="false"/>
          <w:i w:val="false"/>
          <w:color w:val="000000"/>
          <w:sz w:val="22"/>
        </w:rPr>
        <w:t> </w:t>
      </w:r>
      <w:r>
        <w:rPr>
          <w:rFonts w:ascii="Times New Roman" w:hAnsi="Times New Roman"/>
          <w:b w:val="false"/>
          <w:i w:val="false"/>
          <w:color w:val="000000"/>
          <w:sz w:val="22"/>
        </w:rPr>
        <w:t xml:space="preserve"> An approved school will prominently disclose on its website the school’s participation in the commission-approved interstate reciprocity agreement and provide the commission’s contact information in a format prescribed by the commission for students who wish to inquire about the school or file a complaint. The school will provide the commission with the name of and business contact information for a person whom the school designates to receive student complaints from the commission and coordinate the school’s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21.15(8)</w:t>
      </w:r>
      <w:r>
        <w:rPr>
          <w:rFonts w:ascii="Times New Roman" w:hAnsi="Times New Roman"/>
          <w:b w:val="false"/>
          <w:i w:val="false"/>
          <w:color w:val="000000"/>
          <w:sz w:val="22"/>
        </w:rPr>
        <w:t> </w:t>
      </w:r>
      <w:r>
        <w:rPr>
          <w:rFonts w:ascii="Times New Roman" w:hAnsi="Times New Roman"/>
          <w:b w:val="false"/>
          <w:i w:val="false"/>
          <w:color w:val="000000"/>
          <w:sz w:val="22"/>
        </w:rPr>
        <w:t>A school that is approved to participate in the commission-approved interstate reciprocity agreement shall remit an annual fee payable and due to the commission on July 15 of each year. The school shall pay the annual fee to the commission if the commission’s approval to participate in the interstate reciprocity agreement is valid as of July 15 of that year. The annual fee is nonrefundable and will be assessed based on a school’s full-time equivalent (FTE) enrollment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 2,500 FTE – $2,000.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2,500 to 9,999 FTE – $4,000.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10,000 FTE or more – $6,000.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21.15(9)</w:t>
      </w:r>
      <w:r>
        <w:rPr>
          <w:rFonts w:ascii="Times New Roman" w:hAnsi="Times New Roman"/>
          <w:b w:val="false"/>
          <w:i w:val="false"/>
          <w:color w:val="000000"/>
          <w:sz w:val="22"/>
        </w:rPr>
        <w:t> </w:t>
      </w:r>
      <w:r>
        <w:rPr>
          <w:rFonts w:ascii="Times New Roman" w:hAnsi="Times New Roman"/>
          <w:b w:val="false"/>
          <w:i w:val="false"/>
          <w:color w:val="000000"/>
          <w:sz w:val="22"/>
        </w:rPr>
        <w:t>A school that is approved to participate in the commission-approved interstate reciprocity agreement shall remit to the interstate reciprocity agreement administrator any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21.15(10)</w:t>
      </w:r>
      <w:r>
        <w:rPr>
          <w:rFonts w:ascii="Times New Roman" w:hAnsi="Times New Roman"/>
          <w:b w:val="false"/>
          <w:i w:val="false"/>
          <w:color w:val="000000"/>
          <w:sz w:val="22"/>
        </w:rPr>
        <w:t> </w:t>
      </w:r>
      <w:r>
        <w:rPr>
          <w:rFonts w:ascii="Times New Roman" w:hAnsi="Times New Roman"/>
          <w:b w:val="false"/>
          <w:i w:val="false"/>
          <w:color w:val="000000"/>
          <w:sz w:val="22"/>
        </w:rPr>
        <w:t>Upon approval by the interstate reciprocity agreement administrator, a school may continue its participation in the reciprocity agreement as long as it meets all requirements of the interstate reciprocity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2580C</w:t>
      </w:r>
      <w:r>
        <w:rPr>
          <w:rFonts w:ascii="Times New Roman" w:hAnsi="Times New Roman"/>
          <w:b w:val="false"/>
          <w:i w:val="false"/>
          <w:color w:val="000000"/>
          <w:sz w:val="16"/>
        </w:rPr>
        <w:t>, IAB 6/22/16, effective 5/27/16</w:t>
      </w:r>
      <w:r>
        <w:rPr>
          <w:rFonts w:ascii="Times New Roman" w:hAnsi="Times New Roman"/>
          <w:b w:val="false"/>
          <w:i w:val="false"/>
          <w:color w:val="000000"/>
          <w:sz w:val="16"/>
        </w:rPr>
        <w:t xml:space="preserve">; </w:t>
      </w:r>
      <w:r>
        <w:rPr>
          <w:rFonts w:ascii="Times New Roman" w:hAnsi="Times New Roman"/>
          <w:b/>
          <w:i w:val="false"/>
          <w:color w:val="000000"/>
          <w:sz w:val="16"/>
        </w:rPr>
        <w:t>ARC 3678C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283—21.16</w:t>
      </w:r>
      <w:r>
        <w:rPr>
          <w:rFonts w:ascii="Times New Roman" w:hAnsi="Times New Roman"/>
          <w:b/>
          <w:i w:val="false"/>
          <w:color w:val="000000"/>
          <w:sz w:val="22"/>
        </w:rPr>
        <w:t xml:space="preserve">(261B,261G) </w:t>
      </w:r>
      <w:r>
        <w:rPr>
          <w:rFonts w:ascii="Times New Roman" w:hAnsi="Times New Roman"/>
          <w:b/>
          <w:i w:val="false"/>
          <w:color w:val="000000"/>
          <w:sz w:val="22"/>
        </w:rPr>
        <w:t xml:space="preserve">School closures. </w:t>
      </w:r>
      <w:r>
        <w:rPr>
          <w:rFonts w:ascii="Times New Roman" w:hAnsi="Times New Roman"/>
          <w:b w:val="false"/>
          <w:i w:val="false"/>
          <w:color w:val="000000"/>
          <w:sz w:val="22"/>
        </w:rPr>
        <w:t xml:space="preserve">In the event of a school closure, the commission may use unobligated funds from the postsecondary registration fund, pursuant to Iowa Code section </w:t>
      </w:r>
      <w:hyperlink r:id="rId61">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to assist impacted eligible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The provisions of this rule apply to Iowa resident students who were enrolled in a postsecondary educational program that leads to a recognized educational credential or were on an approved leave of absence when the school abruptly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Assistance to impacted eligible students. </w:t>
      </w:r>
      <w:r>
        <w:rPr>
          <w:rFonts w:ascii="Times New Roman" w:hAnsi="Times New Roman"/>
          <w:b w:val="false"/>
          <w:i w:val="false"/>
          <w:color w:val="000000"/>
          <w:sz w:val="22"/>
        </w:rPr>
        <w:t>The commission may provide the following forms of assistance to eligible students impacted by a school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 evaluate, and store records needed to establish the validity of claims against a school for failure to faithfully perform all 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institutional charges on behalf of Iowans who enrolled at the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an arrangement in which the school provides its current students with the opportunity to complete the students’ courses of study after the school closes, including any activities designed to facilitate the transition of such students to another postsecondary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private educational loan debt incurred by Iowans for attendance at the school during the enrollment term that the college 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 Iowans who enrolled at the school for other financial loss, as determined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Claims process. </w:t>
      </w:r>
      <w:r>
        <w:rPr>
          <w:rFonts w:ascii="Times New Roman" w:hAnsi="Times New Roman"/>
          <w:b w:val="false"/>
          <w:i w:val="false"/>
          <w:color w:val="000000"/>
          <w:sz w:val="22"/>
        </w:rPr>
        <w:t xml:space="preserve">An eligible student making a claim for reimbursement under </w:t>
      </w:r>
      <w:hyperlink r:id="rId62">
        <w:r>
          <w:rPr>
            <w:rStyle w:val="Hyperlink"/>
            <w:rFonts w:ascii="Times New Roman" w:hAnsi="Times New Roman"/>
            <w:b w:val="false"/>
            <w:i w:val="false"/>
            <w:color w:val="000000"/>
            <w:sz w:val="22"/>
          </w:rPr>
          <w:t>paragraph 21.16(2)</w:t>
        </w:r>
      </w:hyperlink>
      <w:r>
        <w:rPr>
          <w:rFonts w:ascii="Times New Roman" w:hAnsi="Times New Roman"/>
          <w:b w:val="false"/>
          <w:i/>
          <w:color w:val="000000"/>
          <w:sz w:val="22"/>
        </w:rPr>
        <w:t>“b,”</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must contact the commission for a claim form and provide the following supporting information and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enrollment at the time of school closing.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attendance at the time of school closing.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at the time of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payment of private educational loan debt, tuition, fees, or other financial loss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to support a student’s claim of enrollment, attendance, 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The commission will review a claim and the supporting information and documentation submitted by each eligible student seeking reimbursement under this rule. The commission may delay approval of claims for a period not to exceed one year to ensure all claims related to a school closure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21.16(5)</w:t>
      </w:r>
      <w:r>
        <w:rPr>
          <w:rFonts w:ascii="Times New Roman" w:hAnsi="Times New Roman"/>
          <w:b w:val="false"/>
          <w:i w:val="false"/>
          <w:color w:val="000000"/>
          <w:sz w:val="22"/>
        </w:rPr>
        <w:t> </w:t>
      </w:r>
      <w:r>
        <w:rPr>
          <w:rFonts w:ascii="Times New Roman" w:hAnsi="Times New Roman"/>
          <w:b w:val="false"/>
          <w:i/>
          <w:color w:val="000000"/>
          <w:sz w:val="22"/>
        </w:rPr>
        <w:t xml:space="preserve">Awarding of approved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claims for reimbursement shall be submitted and approved within one year of the date of the school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for reimbursement will first be made against the school’s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school’s surety bond is insufficient to provide reimbursement to all approved claims, the postsecondary registration fund, pursuant to Iowa Code section </w:t>
      </w:r>
      <w:hyperlink r:id="rId63">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may be used to reimburse any remaining approved claims.</w:t>
      </w:r>
    </w:p>
    <w:p>
      <w:pPr>
        <w:spacing w:before="0" w:after="0"/>
        <w:ind w:left="120"/>
        <w:jc w:val="both"/>
      </w:pPr>
      <w:r>
        <w:rPr>
          <w:rFonts w:ascii="Times New Roman" w:hAnsi="Times New Roman"/>
          <w:b w:val="false"/>
          <w:i w:val="false"/>
          <w:color w:val="000000"/>
          <w:sz w:val="22"/>
        </w:rPr>
        <w:t xml:space="preserve">In no case will the total approved claims related to a single school closure exceed one‑half of the unobligated balance in the postsecondary registration fund pursuant to Iowa Code section </w:t>
      </w:r>
      <w:hyperlink r:id="rId64">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If the postsecondary registration fund is insufficient to cover the full amount of all approved claims, the commission shall develop a method of allocating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The procedures set forth in </w:t>
      </w:r>
      <w:hyperlink r:id="rId65">
        <w:r>
          <w:rPr>
            <w:rStyle w:val="Hyperlink"/>
            <w:rFonts w:ascii="Times New Roman" w:hAnsi="Times New Roman"/>
            <w:b w:val="false"/>
            <w:i w:val="false"/>
            <w:color w:val="000000"/>
            <w:sz w:val="22"/>
          </w:rPr>
          <w:t>283—Chapter 4</w:t>
        </w:r>
      </w:hyperlink>
      <w:r>
        <w:rPr>
          <w:rFonts w:ascii="Times New Roman" w:hAnsi="Times New Roman"/>
          <w:b w:val="false"/>
          <w:i w:val="false"/>
          <w:color w:val="000000"/>
          <w:sz w:val="22"/>
        </w:rPr>
        <w:t xml:space="preserve"> will be followed in the event of an appeal to a decision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5964C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6">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9/29/00, Notice 8/9/00—published 10/18/00, effective 11/22/00]</w:t>
      </w:r>
    </w:p>
    <w:p>
      <w:pPr>
        <w:spacing w:before="0" w:after="0"/>
        <w:ind w:left="120"/>
        <w:jc w:val="center"/>
      </w:pPr>
      <w:r>
        <w:rPr>
          <w:rFonts w:ascii="Times New Roman" w:hAnsi="Times New Roman"/>
          <w:b w:val="false"/>
          <w:i w:val="false"/>
          <w:color w:val="000000"/>
          <w:sz w:val="21"/>
        </w:rPr>
        <w:t>[Filed 8/30/02, Notice 4/17/02—published 9/18/02, effective 10/23/02]</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1/24/04, Notice 10/29/03—published 2/18/04, effective 3/24/04]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3/24/05, Notice 1/5/05—published 4/13/05, effective 5/18/05]</w:t>
      </w:r>
    </w:p>
    <w:p>
      <w:pPr>
        <w:spacing w:before="0" w:after="0"/>
        <w:ind w:left="120"/>
        <w:jc w:val="center"/>
      </w:pPr>
      <w:r>
        <w:rPr>
          <w:rFonts w:ascii="Times New Roman" w:hAnsi="Times New Roman"/>
          <w:b w:val="false"/>
          <w:i w:val="false"/>
          <w:color w:val="000000"/>
          <w:sz w:val="21"/>
        </w:rPr>
        <w:t>[Filed ARC 1216C</w:t>
      </w:r>
      <w:r>
        <w:rPr>
          <w:rFonts w:ascii="Times New Roman" w:hAnsi="Times New Roman"/>
          <w:b w:val="false"/>
          <w:i w:val="false"/>
          <w:color w:val="000000"/>
          <w:sz w:val="21"/>
        </w:rPr>
        <w:t xml:space="preserve"> (Notice ARC 0946C,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Emergency After Notice ARC 2580C</w:t>
      </w:r>
      <w:r>
        <w:rPr>
          <w:rFonts w:ascii="Times New Roman" w:hAnsi="Times New Roman"/>
          <w:b w:val="false"/>
          <w:i w:val="false"/>
          <w:color w:val="000000"/>
          <w:sz w:val="21"/>
        </w:rPr>
        <w:t xml:space="preserve"> (Notice ARC 2143C, IAB 9/16/15; </w:t>
      </w:r>
      <w:r>
        <w:rPr>
          <w:rFonts w:ascii="Times New Roman" w:hAnsi="Times New Roman"/>
          <w:b w:val="false"/>
          <w:i w:val="false"/>
          <w:color w:val="000000"/>
          <w:sz w:val="21"/>
        </w:rPr>
        <w:t>Amended Notice ARC 2437C, IAB 3/16/16)</w:t>
      </w:r>
      <w:r>
        <w:rPr>
          <w:rFonts w:ascii="Times New Roman" w:hAnsi="Times New Roman"/>
          <w:b w:val="false"/>
          <w:i w:val="false"/>
          <w:color w:val="000000"/>
          <w:sz w:val="21"/>
        </w:rPr>
        <w:t>, IAB 6/22/16, effective 5/27/16]</w:t>
      </w:r>
    </w:p>
    <w:p>
      <w:pPr>
        <w:spacing w:before="0" w:after="0"/>
        <w:ind w:left="120"/>
        <w:jc w:val="center"/>
      </w:pPr>
      <w:r>
        <w:rPr>
          <w:rFonts w:ascii="Times New Roman" w:hAnsi="Times New Roman"/>
          <w:b w:val="false"/>
          <w:i w:val="false"/>
          <w:color w:val="000000"/>
          <w:sz w:val="21"/>
        </w:rPr>
        <w:t>[Filed ARC 3678C</w:t>
      </w:r>
      <w:r>
        <w:rPr>
          <w:rFonts w:ascii="Times New Roman" w:hAnsi="Times New Roman"/>
          <w:b w:val="false"/>
          <w:i w:val="false"/>
          <w:color w:val="000000"/>
          <w:sz w:val="21"/>
        </w:rPr>
        <w:t xml:space="preserve"> (Notice ARC 3540C,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5964C</w:t>
      </w:r>
      <w:r>
        <w:rPr>
          <w:rFonts w:ascii="Times New Roman" w:hAnsi="Times New Roman"/>
          <w:b w:val="false"/>
          <w:i w:val="false"/>
          <w:color w:val="000000"/>
          <w:sz w:val="21"/>
        </w:rPr>
        <w:t xml:space="preserve"> (Notice ARC 5852C, IAB 8/11/21)</w:t>
      </w:r>
      <w:r>
        <w:rPr>
          <w:rFonts w:ascii="Times New Roman" w:hAnsi="Times New Roman"/>
          <w:b w:val="false"/>
          <w:i w:val="false"/>
          <w:color w:val="000000"/>
          <w:sz w:val="21"/>
        </w:rPr>
        <w:t>, IAB 10/6/21, effective 11/10/21]</w:t>
      </w:r>
    </w:p>
    <w:p>
      <w:pPr>
        <w:pBdr>
          <w:bottom w:space="2"/>
        </w:pBdr>
        <w:spacing w:before="0" w:after="0"/>
        <w:ind w:left="120"/>
        <w:jc w:val="both"/>
      </w:pPr>
      <w:r>
        <w:rPr>
          <w:rFonts w:ascii="Times New Roman" w:hAnsi="Times New Roman"/>
          <w:b w:val="false"/>
          <w:i w:val="false"/>
          <w:color w:val="000000"/>
          <w:sz w:val="22"/>
        </w:rPr>
        <w:t>Effective date of 3/24/04 delayed 70 days by the Administrative Rules Review Committee at its meeting held March 8,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G.pdf" Type="http://schemas.openxmlformats.org/officeDocument/2006/relationships/hyperlink" Id="rId5"/>
    <Relationship TargetMode="External" Target="https://www.legis.iowa.gov/docs/ico/chapter/261B.pdf" Type="http://schemas.openxmlformats.org/officeDocument/2006/relationships/hyperlink" Id="rId6"/>
    <Relationship TargetMode="External" Target="https://www.legis.iowa.gov/docs/ico/chapter/261B.pdf" Type="http://schemas.openxmlformats.org/officeDocument/2006/relationships/hyperlink" Id="rId7"/>
    <Relationship TargetMode="External" Target="https://www.legis.iowa.gov/docs/ico/chapter/261G.pdf" Type="http://schemas.openxmlformats.org/officeDocument/2006/relationships/hyperlink" Id="rId8"/>
    <Relationship TargetMode="External" Target="https://www.legis.iowa.gov/docs/ico/chapter/261G.2.pdf" Type="http://schemas.openxmlformats.org/officeDocument/2006/relationships/hyperlink" Id="rId9"/>
    <Relationship TargetMode="External" Target="https://www.legis.iowa.gov/docs/ico/chapter/261B.pdf" Type="http://schemas.openxmlformats.org/officeDocument/2006/relationships/hyperlink" Id="rId10"/>
    <Relationship TargetMode="External" Target="https://www.legis.iowa.gov/docs/ico/chapter/261G.pdf" Type="http://schemas.openxmlformats.org/officeDocument/2006/relationships/hyperlink" Id="rId11"/>
    <Relationship TargetMode="External" Target="https://www.legis.iowa.gov/docs/ico/chapter/261B.7.pdf" Type="http://schemas.openxmlformats.org/officeDocument/2006/relationships/hyperlink" Id="rId12"/>
    <Relationship TargetMode="External" Target="https://www.legis.iowa.gov/docs/ico/chapter/261.9.pdf" Type="http://schemas.openxmlformats.org/officeDocument/2006/relationships/hyperlink" Id="rId13"/>
    <Relationship TargetMode="External" Target="https://www.legis.iowa.gov/docs/ico/chapter/261.9.pdf" Type="http://schemas.openxmlformats.org/officeDocument/2006/relationships/hyperlink" Id="rId14"/>
    <Relationship TargetMode="External" Target="https://www.legis.iowa.gov/docs/ico/chapter/261.9.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ac/rule/283.21.3.pdf" Type="http://schemas.openxmlformats.org/officeDocument/2006/relationships/hyperlink" Id="rId17"/>
    <Relationship TargetMode="External" Target="https://www.legis.iowa.gov/docs/iac/rule/283.21.3.pdf" Type="http://schemas.openxmlformats.org/officeDocument/2006/relationships/hyperlink" Id="rId18"/>
    <Relationship TargetMode="External" Target="https://www.legis.iowa.gov/docs/iac/rule/283.21.3.pdf" Type="http://schemas.openxmlformats.org/officeDocument/2006/relationships/hyperlink" Id="rId19"/>
    <Relationship TargetMode="External" Target="https://www.legis.iowa.gov/docs/iac/rule/283.21.3.pdf" Type="http://schemas.openxmlformats.org/officeDocument/2006/relationships/hyperlink" Id="rId20"/>
    <Relationship TargetMode="External" Target="https://www.legis.iowa.gov/docs/iac/rule/283.21.3.pdf" Type="http://schemas.openxmlformats.org/officeDocument/2006/relationships/hyperlink" Id="rId21"/>
    <Relationship TargetMode="External" Target="https://www.legis.iowa.gov/docs/iac/rule/283.21.3.pdf" Type="http://schemas.openxmlformats.org/officeDocument/2006/relationships/hyperlink" Id="rId22"/>
    <Relationship TargetMode="External" Target="https://www.legis.iowa.gov/docs/ico/chapter/261B.2.pdf" Type="http://schemas.openxmlformats.org/officeDocument/2006/relationships/hyperlink" Id="rId23"/>
    <Relationship TargetMode="External" Target="https://www.legis.iowa.gov/docs/ico/chapter/261.9.pdf" Type="http://schemas.openxmlformats.org/officeDocument/2006/relationships/hyperlink" Id="rId24"/>
    <Relationship TargetMode="External" Target="https://www.legis.iowa.gov/docs/iac/rule/283.21.3.pdf" Type="http://schemas.openxmlformats.org/officeDocument/2006/relationships/hyperlink" Id="rId25"/>
    <Relationship TargetMode="External" Target="https://www.legis.iowa.gov/docs/iac/rule/283.21.12.pdf" Type="http://schemas.openxmlformats.org/officeDocument/2006/relationships/hyperlink" Id="rId26"/>
    <Relationship TargetMode="External" Target="https://www.legis.iowa.gov/docs/iac/rule/283.21.3.pdf" Type="http://schemas.openxmlformats.org/officeDocument/2006/relationships/hyperlink" Id="rId27"/>
    <Relationship TargetMode="External" Target="https://www.legis.iowa.gov/docs/ico/chapter/714.18.pdf" Type="http://schemas.openxmlformats.org/officeDocument/2006/relationships/hyperlink" Id="rId28"/>
    <Relationship TargetMode="External" Target="https://www.legis.iowa.gov/docs/iac/rule/283.21.11.pdf" Type="http://schemas.openxmlformats.org/officeDocument/2006/relationships/hyperlink" Id="rId29"/>
    <Relationship TargetMode="External" Target="https://www.legis.iowa.gov/docs/iac/rule/283.21.11.pdf" Type="http://schemas.openxmlformats.org/officeDocument/2006/relationships/hyperlink" Id="rId30"/>
    <Relationship TargetMode="External" Target="https://www.legis.iowa.gov/docs/ico/chapter/261B.pdf" Type="http://schemas.openxmlformats.org/officeDocument/2006/relationships/hyperlink" Id="rId31"/>
    <Relationship TargetMode="External" Target="https://www.legis.iowa.gov/docs/iac/rule/283.21.12.pdf" Type="http://schemas.openxmlformats.org/officeDocument/2006/relationships/hyperlink" Id="rId32"/>
    <Relationship TargetMode="External" Target="https://www.legis.iowa.gov/docs/iac/rule/283.21.15.pdf" Type="http://schemas.openxmlformats.org/officeDocument/2006/relationships/hyperlink" Id="rId33"/>
    <Relationship TargetMode="External" Target="https://www.legis.iowa.gov/docs/ico/chapter/261B.11.pdf" Type="http://schemas.openxmlformats.org/officeDocument/2006/relationships/hyperlink" Id="rId34"/>
    <Relationship TargetMode="External" Target="https://www.legis.iowa.gov/docs/iac/rule/283.21.13.pdf" Type="http://schemas.openxmlformats.org/officeDocument/2006/relationships/hyperlink" Id="rId35"/>
    <Relationship TargetMode="External" Target="https://www.legis.iowa.gov/docs/ico/chapter/261B.pdf" Type="http://schemas.openxmlformats.org/officeDocument/2006/relationships/hyperlink" Id="rId36"/>
    <Relationship TargetMode="External" Target="https://www.legis.iowa.gov/docs/ico/chapter/261B.11.pdf" Type="http://schemas.openxmlformats.org/officeDocument/2006/relationships/hyperlink" Id="rId37"/>
    <Relationship TargetMode="External" Target="https://www.legis.iowa.gov/docs/ico/chapter/261B.11.pdf" Type="http://schemas.openxmlformats.org/officeDocument/2006/relationships/hyperlink" Id="rId38"/>
    <Relationship TargetMode="External" Target="https://www.legis.iowa.gov/docs/ico/chapter/261.9.pdf" Type="http://schemas.openxmlformats.org/officeDocument/2006/relationships/hyperlink" Id="rId39"/>
    <Relationship TargetMode="External" Target="https://www.legis.iowa.gov/docs/ico/chapter/262.9.pdf" Type="http://schemas.openxmlformats.org/officeDocument/2006/relationships/hyperlink" Id="rId40"/>
    <Relationship TargetMode="External" Target="https://www.legis.iowa.gov/docs/ico/chapter/260C.14.pdf" Type="http://schemas.openxmlformats.org/officeDocument/2006/relationships/hyperlink" Id="rId41"/>
    <Relationship TargetMode="External" Target="https://www.legis.iowa.gov/docs/ico/chapter/261F.pdf" Type="http://schemas.openxmlformats.org/officeDocument/2006/relationships/hyperlink" Id="rId42"/>
    <Relationship TargetMode="External" Target="https://www.legis.iowa.gov/docs/ico/chapter/261F.2.pdf" Type="http://schemas.openxmlformats.org/officeDocument/2006/relationships/hyperlink" Id="rId43"/>
    <Relationship TargetMode="External" Target="https://www.legis.iowa.gov/docs/ico/chapter/261F.pdf" Type="http://schemas.openxmlformats.org/officeDocument/2006/relationships/hyperlink" Id="rId44"/>
    <Relationship TargetMode="External" Target="https://www.legis.iowa.gov/docs/ico/chapter/261F.6.pdf" Type="http://schemas.openxmlformats.org/officeDocument/2006/relationships/hyperlink" Id="rId45"/>
    <Relationship TargetMode="External" Target="https://www.legis.iowa.gov/docs/ico/chapter/714.18.pdf" Type="http://schemas.openxmlformats.org/officeDocument/2006/relationships/hyperlink" Id="rId46"/>
    <Relationship TargetMode="External" Target="https://www.legis.iowa.gov/docs/ico/chapter/714.19.pdf" Type="http://schemas.openxmlformats.org/officeDocument/2006/relationships/hyperlink" Id="rId47"/>
    <Relationship TargetMode="External" Target="https://www.legis.iowa.gov/docs/ico/chapter/714.23.pdf" Type="http://schemas.openxmlformats.org/officeDocument/2006/relationships/hyperlink" Id="rId48"/>
    <Relationship TargetMode="External" Target="https://www.legis.iowa.gov/docs/ico/chapter/714.23.pdf" Type="http://schemas.openxmlformats.org/officeDocument/2006/relationships/hyperlink" Id="rId49"/>
    <Relationship TargetMode="External" Target="https://www.legis.iowa.gov/docs/ico/chapter/714.25.pdf" Type="http://schemas.openxmlformats.org/officeDocument/2006/relationships/hyperlink" Id="rId50"/>
    <Relationship TargetMode="External" Target="https://www.legis.iowa.gov/docs/ico/chapter/261G.pdf" Type="http://schemas.openxmlformats.org/officeDocument/2006/relationships/hyperlink" Id="rId51"/>
    <Relationship TargetMode="External" Target="https://www.legis.iowa.gov/docs/ico/chapter/261B.pdf" Type="http://schemas.openxmlformats.org/officeDocument/2006/relationships/hyperlink" Id="rId52"/>
    <Relationship TargetMode="External" Target="https://www.legis.iowa.gov/docs/ico/chapter/714.18.pdf" Type="http://schemas.openxmlformats.org/officeDocument/2006/relationships/hyperlink" Id="rId53"/>
    <Relationship TargetMode="External" Target="https://www.legis.iowa.gov/docs/ico/chapter/714.23.pdf" Type="http://schemas.openxmlformats.org/officeDocument/2006/relationships/hyperlink" Id="rId54"/>
    <Relationship TargetMode="External" Target="https://www.legis.iowa.gov/docs/ico/chapter/714.23.pdf" Type="http://schemas.openxmlformats.org/officeDocument/2006/relationships/hyperlink" Id="rId55"/>
    <Relationship TargetMode="External" Target="https://www.legis.iowa.gov/docs/ico/chapter/261.9.pdf" Type="http://schemas.openxmlformats.org/officeDocument/2006/relationships/hyperlink" Id="rId56"/>
    <Relationship TargetMode="External" Target="https://www.legis.iowa.gov/docs/ico/chapter/262.9.pdf" Type="http://schemas.openxmlformats.org/officeDocument/2006/relationships/hyperlink" Id="rId57"/>
    <Relationship TargetMode="External" Target="https://www.legis.iowa.gov/docs/ico/chapter/260C.14.pdf" Type="http://schemas.openxmlformats.org/officeDocument/2006/relationships/hyperlink" Id="rId58"/>
    <Relationship TargetMode="External" Target="https://www.legis.iowa.gov/docs/iac/rule/283.21.3.pdf" Type="http://schemas.openxmlformats.org/officeDocument/2006/relationships/hyperlink" Id="rId59"/>
    <Relationship TargetMode="External" Target="https://www.legis.iowa.gov/docs/iac/rule/283.21.14.pdf" Type="http://schemas.openxmlformats.org/officeDocument/2006/relationships/hyperlink" Id="rId60"/>
    <Relationship TargetMode="External" Target="https://www.legis.iowa.gov/docs/ico/chapter/261B.8.pdf" Type="http://schemas.openxmlformats.org/officeDocument/2006/relationships/hyperlink" Id="rId61"/>
    <Relationship TargetMode="External" Target="https://www.legis.iowa.gov/docs/iac/rule/283.21.16.pdf" Type="http://schemas.openxmlformats.org/officeDocument/2006/relationships/hyperlink" Id="rId62"/>
    <Relationship TargetMode="External" Target="https://www.legis.iowa.gov/docs/ico/chapter/261B.8.pdf" Type="http://schemas.openxmlformats.org/officeDocument/2006/relationships/hyperlink" Id="rId63"/>
    <Relationship TargetMode="External" Target="https://www.legis.iowa.gov/docs/ico/chapter/261B.8.pdf" Type="http://schemas.openxmlformats.org/officeDocument/2006/relationships/hyperlink" Id="rId64"/>
    <Relationship TargetMode="External" Target="https://www.legis.iowa.gov/docs/iac/chapter/283.4.pdf" Type="http://schemas.openxmlformats.org/officeDocument/2006/relationships/hyperlink" Id="rId65"/>
    <Relationship TargetMode="External" Target="https://www.legis.iowa.gov/docs/ico/chapter/261.pdf" Type="http://schemas.openxmlformats.org/officeDocument/2006/relationships/hyperlink" Id="rId66"/>
    <Relationship TargetMode="External" Target="https://www.legis.iowa.gov/docs/ico/chapter/261B.pdf" Type="http://schemas.openxmlformats.org/officeDocument/2006/relationships/hyperlink" Id="rId67"/>
    <Relationship TargetMode="External" Target="https://www.legis.iowa.gov/docs/ico/chapter/261G.pdf" Type="http://schemas.openxmlformats.org/officeDocument/2006/relationships/hyperlink"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