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IOWA NATIONAL GUARD SERVICE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283—20.1</w:t>
      </w:r>
      <w:r>
        <w:rPr>
          <w:rFonts w:ascii="Times New Roman" w:hAnsi="Times New Roman"/>
          <w:b/>
          <w:i w:val="false"/>
          <w:color w:val="000000"/>
          <w:sz w:val="22"/>
        </w:rPr>
        <w:t xml:space="preserve">(261) </w:t>
      </w:r>
      <w:r>
        <w:rPr>
          <w:rFonts w:ascii="Times New Roman" w:hAnsi="Times New Roman"/>
          <w:b/>
          <w:i w:val="false"/>
          <w:color w:val="000000"/>
          <w:sz w:val="22"/>
        </w:rPr>
        <w:t xml:space="preserve">Scholarships to Iowa national guard members for undergraduate studies at eligible Iowa institutions. </w:t>
      </w:r>
      <w:r>
        <w:rPr>
          <w:rFonts w:ascii="Times New Roman" w:hAnsi="Times New Roman"/>
          <w:b w:val="false"/>
          <w:i w:val="false"/>
          <w:color w:val="000000"/>
          <w:sz w:val="22"/>
        </w:rPr>
        <w:t>The adjutant general shall determine eligibility requirements and select program recipients. The decision of the adjutant general is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active duty” </w:t>
      </w:r>
      <w:r>
        <w:rPr>
          <w:rFonts w:ascii="Times New Roman" w:hAnsi="Times New Roman"/>
          <w:b w:val="false"/>
          <w:i w:val="false"/>
          <w:color w:val="000000"/>
          <w:sz w:val="22"/>
        </w:rPr>
        <w:t>means military duty performed pursuant to orders issued under Title 10, United States Code, other than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“State-defined payment period” </w:t>
      </w:r>
      <w:r>
        <w:rPr>
          <w:rFonts w:ascii="Times New Roman" w:hAnsi="Times New Roman"/>
          <w:b w:val="false"/>
          <w:i w:val="false"/>
          <w:color w:val="000000"/>
          <w:sz w:val="22"/>
        </w:rPr>
        <w:t>means one of six payment terms and corresponding deadlines as defined by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Guard member eligibility. </w:t>
      </w:r>
      <w:r>
        <w:rPr>
          <w:rFonts w:ascii="Times New Roman" w:hAnsi="Times New Roman"/>
          <w:b w:val="false"/>
          <w:i w:val="false"/>
          <w:color w:val="000000"/>
          <w:sz w:val="22"/>
        </w:rPr>
        <w:t>A recipient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resident of Iowa, as defined by the adjutant general of Iowa, and a member of an Iowa army or air national guard unit throughout each term for which the member receives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satisfactorily completed required guard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maintained satisfactory performance of guard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applied to the adjutant general of Iowa for program eligibility by the established application deadline date(s) by completing the Free Application for Federal Student Aid (FAFSA) and any other application form required. The adjutant general shall accept an application from an eligible member of the Iowa national guard who was on federal active duty at the time of an application deadline if the application is received within 30 days after the eligible member returns to Iowa from federal active duty. The applicant will be considered for funding for the state-defined payment period in which the application was received and any future state-defined payment periods in that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pursuing a certificate or undergraduate degree program at an eligible Iowa college or university and maintaining satisfactory academic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notice of national guard status to the college or university at the time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Institutional eligibility. </w:t>
      </w:r>
      <w:r>
        <w:rPr>
          <w:rFonts w:ascii="Times New Roman" w:hAnsi="Times New Roman"/>
          <w:b w:val="false"/>
          <w:i w:val="false"/>
          <w:color w:val="000000"/>
          <w:sz w:val="22"/>
        </w:rPr>
        <w:t>Guard members attending the following categories of colleges and universities located in Iowa are eligible to receive awards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Institutions accredited by the North Central Association of Colleges and Schools (NCA).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State-supported area community colleges accredited by the state department of education.</w:t>
      </w:r>
    </w:p>
    <w:p>
      <w:pPr>
        <w:spacing w:before="0" w:after="0"/>
        <w:ind w:left="120"/>
        <w:jc w:val="both"/>
      </w:pPr>
      <w:r>
        <w:rPr>
          <w:rFonts w:ascii="Times New Roman" w:hAnsi="Times New Roman"/>
          <w:b w:val="false"/>
          <w:i w:val="false"/>
          <w:color w:val="000000"/>
          <w:sz w:val="22"/>
        </w:rPr>
        <w:t>“Located in Iowa” means a college or university accredited by the Higher Learning Commission of the North Central Association of Colleges and Schools, that has made a substantial investment in a permanent Iowa campus and staff, and that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Award notification. </w:t>
      </w:r>
      <w:r>
        <w:rPr>
          <w:rFonts w:ascii="Times New Roman" w:hAnsi="Times New Roman"/>
          <w:b w:val="false"/>
          <w:i w:val="false"/>
          <w:color w:val="000000"/>
          <w:sz w:val="22"/>
        </w:rPr>
        <w:t>A guard member is notified of eligibility by the adjutant general of Iowa. The adjutant general will notify the Iowa college student aid commission (commission) of all eligible members. The commission will notify Iowa colleges and universities of guard member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w:t>
      </w:r>
      <w:r>
        <w:rPr>
          <w:rFonts w:ascii="Times New Roman" w:hAnsi="Times New Roman"/>
          <w:b w:val="false"/>
          <w:i w:val="false"/>
          <w:color w:val="000000"/>
          <w:sz w:val="22"/>
        </w:rPr>
        <w:t> </w:t>
      </w:r>
      <w:r>
        <w:rPr>
          <w:rFonts w:ascii="Times New Roman" w:hAnsi="Times New Roman"/>
          <w:b w:val="false"/>
          <w:i/>
          <w:color w:val="000000"/>
          <w:sz w:val="22"/>
        </w:rPr>
        <w:t xml:space="preserve">Award limitations. </w:t>
      </w:r>
      <w:r>
        <w:rPr>
          <w:rFonts w:ascii="Times New Roman" w:hAnsi="Times New Roman"/>
          <w:b w:val="false"/>
          <w:i w:val="false"/>
          <w:color w:val="000000"/>
          <w:sz w:val="22"/>
        </w:rPr>
        <w:t>Awards may be used for tuition and fees; room and board; books, supplies, transportation and personal expenses; dependent care; and disability-related expenses. Individual award amounts shall be determined by the adjutant general and shall be neither less than an amount equal to 50 percent of the resident tuition rate established for students attending regent institutions nor exceed the amount of the resident tuition rate established for students attending regent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guard member may use scholarships only for undergraduate expenses described in </w:t>
      </w:r>
      <w:hyperlink r:id="rId5">
        <w:r>
          <w:rPr>
            <w:rStyle w:val="Hyperlink"/>
            <w:rFonts w:ascii="Times New Roman" w:hAnsi="Times New Roman"/>
            <w:b w:val="false"/>
            <w:i w:val="false"/>
            <w:color w:val="000000"/>
            <w:sz w:val="22"/>
          </w:rPr>
          <w:t>subrule 20.1(5)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guard member who has met the educational requirements for a baccalaureate degree is not eligible for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qualified student may receive benefits for no more than 120 semester credit hours, or the equivalent, of undergraduate study. All credit hours within a term of enrollment to which a scholarship was applied must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qualified student who is enrolled in a postsecondary program of study that meets the eligibility requirements of the Edith Nourse Rogers STEM scholarship may receive benefits for no more than 130 credit hours, or the equivalent, of undergraduate study. All credit hours within a term of enrollment to which a scholarship is applied must be reported to the commission within the state-defined payment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adjutant general will notify the commission of all eligible guard members. Changes in member eligibility will be sent to the commission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notify eligible Iowa colleges and universities of guard member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will coordinate the collection and dissemination of eligibility and enrollment information received from the adjutant general and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institution’s financial aid administrator will be responsible for completing academic progress enrollment verifications and for coordinating other aid to ensure compliance with student eligibility requirements and allowable award amounts. Colleges and universities will report changes in student enrollment to the commission within 30 days after the last day of the enrollment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261.86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1319C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2207C</w:t>
      </w:r>
      <w:r>
        <w:rPr>
          <w:rFonts w:ascii="Times New Roman" w:hAnsi="Times New Roman"/>
          <w:b w:val="false"/>
          <w:i w:val="false"/>
          <w:color w:val="000000"/>
          <w:sz w:val="16"/>
        </w:rPr>
        <w:t>, IAB 10/28/15, effective 12/2/15</w:t>
      </w:r>
      <w:r>
        <w:rPr>
          <w:rFonts w:ascii="Times New Roman" w:hAnsi="Times New Roman"/>
          <w:b w:val="false"/>
          <w:i w:val="false"/>
          <w:color w:val="000000"/>
          <w:sz w:val="16"/>
        </w:rPr>
        <w:t xml:space="preserve">; </w:t>
      </w:r>
      <w:r>
        <w:rPr>
          <w:rFonts w:ascii="Times New Roman" w:hAnsi="Times New Roman"/>
          <w:b/>
          <w:i w:val="false"/>
          <w:color w:val="000000"/>
          <w:sz w:val="16"/>
        </w:rPr>
        <w:t>ARC 2753C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4184C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4717C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6/20/97, Notice 4/9/97—published 7/16/97, effective 8/20/97]</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ARC 1319C</w:t>
      </w:r>
      <w:r>
        <w:rPr>
          <w:rFonts w:ascii="Times New Roman" w:hAnsi="Times New Roman"/>
          <w:b w:val="false"/>
          <w:i w:val="false"/>
          <w:color w:val="000000"/>
          <w:sz w:val="21"/>
        </w:rPr>
        <w:t xml:space="preserve"> (Notice ARC 1122C, IAB 10/16/13)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2207C</w:t>
      </w:r>
      <w:r>
        <w:rPr>
          <w:rFonts w:ascii="Times New Roman" w:hAnsi="Times New Roman"/>
          <w:b w:val="false"/>
          <w:i w:val="false"/>
          <w:color w:val="000000"/>
          <w:sz w:val="21"/>
        </w:rPr>
        <w:t xml:space="preserve"> (Notice ARC 2111C, IAB 8/19/15)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2753C</w:t>
      </w:r>
      <w:r>
        <w:rPr>
          <w:rFonts w:ascii="Times New Roman" w:hAnsi="Times New Roman"/>
          <w:b w:val="false"/>
          <w:i w:val="false"/>
          <w:color w:val="000000"/>
          <w:sz w:val="21"/>
        </w:rPr>
        <w:t xml:space="preserve"> (Notice ARC 2583C,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4184C</w:t>
      </w:r>
      <w:r>
        <w:rPr>
          <w:rFonts w:ascii="Times New Roman" w:hAnsi="Times New Roman"/>
          <w:b w:val="false"/>
          <w:i w:val="false"/>
          <w:color w:val="000000"/>
          <w:sz w:val="21"/>
        </w:rPr>
        <w:t xml:space="preserve"> (Notice ARC 3940C, IAB 8/15/18)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4717C</w:t>
      </w:r>
      <w:r>
        <w:rPr>
          <w:rFonts w:ascii="Times New Roman" w:hAnsi="Times New Roman"/>
          <w:b w:val="false"/>
          <w:i w:val="false"/>
          <w:color w:val="000000"/>
          <w:sz w:val="21"/>
        </w:rPr>
        <w:t xml:space="preserve"> (Notice ARC 4595C, IAB 8/14/19)</w:t>
      </w:r>
      <w:r>
        <w:rPr>
          <w:rFonts w:ascii="Times New Roman" w:hAnsi="Times New Roman"/>
          <w:b w:val="false"/>
          <w:i w:val="false"/>
          <w:color w:val="000000"/>
          <w:sz w:val="21"/>
        </w:rPr>
        <w:t>, IAB 10/23/19, effective 11/27/19]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20.1.pdf" Type="http://schemas.openxmlformats.org/officeDocument/2006/relationships/hyperlink" Id="rId5"/>
    <Relationship TargetMode="External" Target="https://www.legis.iowa.gov/docs/ico/chapter/261.8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