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COMMISSION PROCEDURE FOR RULE MAKING</w:t>
      </w:r>
    </w:p>
    <w:p>
      <w:pPr>
        <w:spacing w:before="0" w:after="0"/>
        <w:ind w:left="120"/>
        <w:jc w:val="center"/>
      </w:pPr>
      <w:r>
        <w:rPr>
          <w:rFonts w:ascii="Times New Roman" w:hAnsi="Times New Roman"/>
          <w:b w:val="false"/>
          <w:i w:val="false"/>
          <w:color w:val="000000"/>
          <w:sz w:val="14"/>
        </w:rPr>
        <w:t>[Prior to 8/10/88, see College Aid Commission, 245—13.1 and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283—2.1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commission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283—2.2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commission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commission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283—2.3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commission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commission. For each anticipated rule-making proceeding the docket shall contain a listing of the precise subject matter which may be submitted for consideration by the executive director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commission personnel with whom persons may communicate with respect to the matter, and an indication of the present status within the commission of that possible rule. The commission also may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commission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commission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283—2.4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commission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views may be presented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an oral proceeding may be demanded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commission shall include in the notice a statement fully describing the specific subject matter of the omitted portion of the text of the proposed rule, the specific issues to be addressed by the omitted text of the proposed rule, and the range of possible choices being considered by the commission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 xml:space="preserve">Persons desiring to receive copies of all future Notices of Intended Action must file with the commission a written request indicating the name and address to which such notices should be sent. Within seven days after submission of a Notice of Intended Action to the administrative rules coordinator for publication in the Iowa Administrative Bulletin, the commission shall mail or electronically transmit a copy of that notice to those persons who have filed a written request for either mailing or electronic transmittal with the commission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 Interested persons may also subscribe to the service provided at </w:t>
      </w:r>
      <w:hyperlink r:id="rId10">
        <w:r>
          <w:rPr>
            <w:rStyle w:val="Hyperlink"/>
            <w:rFonts w:ascii="Times New Roman" w:hAnsi="Times New Roman"/>
            <w:b w:val="false"/>
            <w:i w:val="false"/>
            <w:color w:val="000000"/>
            <w:sz w:val="22"/>
            <w:u w:val="single"/>
          </w:rPr>
          <w:t>https://www.legis.iowa.gov/Subscribe/agencyChanges.aspx</w:t>
        </w:r>
      </w:hyperlink>
      <w:r>
        <w:rPr>
          <w:rFonts w:ascii="Times New Roman" w:hAnsi="Times New Roman"/>
          <w:b w:val="false"/>
          <w:i w:val="false"/>
          <w:color w:val="000000"/>
          <w:sz w:val="22"/>
        </w:rPr>
        <w:t xml:space="preserve"> to receive rule-making information regarding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Notice of Intended Action, arguments, data, and views may be submitted in writing on the proposed rule. Such written submissions should identify the proposed rule to which they relate and should be submitted to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commission may, at any time, schedule an oral proceeding on a proposed rule. The commission shall schedule an oral proceeding on a proposed rule if, within 20 days after the published Notice of Intended Action, a written request for an opportunity to make oral presentations is submitted to the commission by the administrative rules review committee, a governmental subdivision, an agency, an association having not less than 25 members, or at least 25 persons. That request must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individual and must include the address and telephone number of each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must contain a statement that the association has at least 25 members, and must include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1">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commission, a member of the commission, or another person designated by the commission who will be familiar with the substance of the proposed rule, shall preside at the oral proceeding on a proposed rule. If the commission does not preside, the presiding officer shall prepare a memorandum for consideration by the commission summarizing the contents of the presentations made at the oral proceeding unless the commission determines that such a memorandum is unnecessary because the commission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oral statements and documentary and physical submissions may be made including data, views, comments, or arguments concerning the proposed rule. Persons wishing to make oral presentations at such a proceeding are encouraged to notify the commission at least one business day prior to the proceeding and indicate the general subject of the presentations. At the proceeding, those who participate shall indicate their names and addresses, identify any persons or organizations they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commission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commission may obtain information concerning a proposed rule through any other lawful means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commission shall schedule oral proceedings in rooms accessible to, and functional for, persons with physical disabilities. Persons who have special requirements should contact the person designated to receive public comments in the Notice of Intended Action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2">
        <w:r>
          <w:rPr>
            <w:rStyle w:val="Hyperlink"/>
            <w:rFonts w:ascii="Times New Roman" w:hAnsi="Times New Roman"/>
            <w:b w:val="false"/>
            <w:i w:val="false"/>
            <w:color w:val="000000"/>
            <w:sz w:val="22"/>
          </w:rPr>
          <w:t>17A.4A(7)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commission’s small business impact list by making a written application addressed to College Student Aid Commission, 400 E. 14th Street, Des Moines, Iowa 50319-0146.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commission may, at any time, request additional information from the applicant to determine whether the applicant is qualified as a small business or as an organization of 25 or more small businesses. The commission may periodically send a letter to each registered small business or organization of small businesses asking whether that business or organization wants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commission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3">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commission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15">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names, addresses and telephone numbers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commission shall adhere to the time lines described in Iowa Code section </w:t>
      </w:r>
      <w:hyperlink r:id="rId16">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commission. The request shall be in writing and satisfy the requirements of Iowa Code section </w:t>
      </w:r>
      <w:hyperlink r:id="rId17">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8">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commission shall make available, to the maximum extent feasible, copies of the published summary in conformance with Iowa Code section </w:t>
      </w:r>
      <w:hyperlink r:id="rId19">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20">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representatives of a small business or by an organization representing at least 25 small businesses, the regulatory analysis shall conform to the requirements of Iowa Code section </w:t>
      </w:r>
      <w:hyperlink r:id="rId21">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at the time it adopts a rule, that the fiscal impact statement upon which the rule is based contains errors, the commission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283—2.8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commission shall not adopt a rule until the period for making written submissions and oral presentations has expired. Within 180 days after the later of the publication of the Notice of Intended Action, or the end of oral proceedings thereon, the commission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commission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Reliance on commission expertise. </w:t>
      </w:r>
      <w:r>
        <w:rPr>
          <w:rFonts w:ascii="Times New Roman" w:hAnsi="Times New Roman"/>
          <w:b w:val="false"/>
          <w:i w:val="false"/>
          <w:color w:val="000000"/>
          <w:sz w:val="22"/>
        </w:rPr>
        <w:t>Except as otherwise provided by law, the commission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283—2.9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commission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commence a rule-making proceeding within 60 days of its receipt of a petition for rule making seeking the amendment or repeal of a rule that differs from the proposed rule contained in the Notice of Intended Action on which the rule is based, unless the commission finds that the differences between the adopted rule and the proposed rule are so insubstantial as to make such a rule-making proceeding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commission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283—2.10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commission finds that public notice and participation are unnecessary, impracticable, or contrary to the public interest in the process of adopting a particular rule, the commission may adopt that rule without publishing advance Notice of Intended Action in the Iowa Administrative Bulletin and without providing for written or oral public submissions prior to its adoption.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commission may, at any time, commence a standard rule-making proceeding for the adoption of a rule that is identical or similar to a rule it adopts in reliance upon subrule </w:t>
      </w:r>
      <w:hyperlink r:id="rId23">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commission shall commence a standard rule-making proceeding for any rule specified in the petition that was adopted in reliance upon subrule </w:t>
      </w:r>
      <w:hyperlink r:id="rId24">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commission may either readopt the rule it adopted without benefit of all usual procedures on the basis of subrule </w:t>
      </w:r>
      <w:hyperlink r:id="rId25">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283—2.11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commission shall issue a concise statement of reasons for the rule. Requests for such a statement must be in writing and be delivered to College Student Aid Commission, 400 E. 14th Street, Des Moines, Iowa 50319-0146.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commission’s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commission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commission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commission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(1b), or the commission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(1b), or the commission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commission may incorporate by reference in a proposed or adopted rule, and without causing publication of the incorporated matter in full, all or any part of a code, standard, rule, or other matter if the commission finds that the incorporation of its text in the commission proposed or adopted rule would be unduly cumbersome, expensive, or otherwise inexpedient. The reference in the commission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commission may incorporate such matter by reference in a proposed or adopted rule only if the commission makes copies of it readily available to the public. The rule shall state how and where copies of the incorporated matter may be obtained at cost from the commission, and how and where copies may be obtained from the agency of the United States, this state, another state, or the organization, association, or persons, originally issuing that matter. The commission shall retain permanently a copy of any materials incorporated by reference in a rule of the commission.</w:t>
      </w:r>
    </w:p>
    <w:p>
      <w:pPr>
        <w:spacing w:before="0" w:after="0"/>
        <w:ind w:left="120"/>
        <w:jc w:val="both"/>
      </w:pPr>
      <w:r>
        <w:rPr>
          <w:rFonts w:ascii="Times New Roman" w:hAnsi="Times New Roman"/>
          <w:b w:val="false"/>
          <w:i w:val="false"/>
          <w:color w:val="000000"/>
          <w:sz w:val="22"/>
        </w:rPr>
        <w:t>If the commission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commission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also shall describe how a copy of the full text of the proposed or adopted rule, including any unpublished matter and any matter incorporated by reference, may be obtained from the commission. The commission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commission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commission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283—2.13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commission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commission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commission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commission’s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commission, and all other written materials of a factual nature as distinguished from opinion that are relevant to the merits of the rule and that were created or compiled by the commission and considered by the executive director, in connection with the formulation, proposal, or adoption of the rule or the proceeding upon which the rule is based, except to the extent the commission is authorized by law to keep them confidential; provided, however, that when any such materials are deleted because they are authorized by law to be kept confidential, the commission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amendments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8">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9">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commission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separate file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commission rule-making record required by this rule need not constitute the exclusive basis for commission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files. </w:t>
      </w:r>
      <w:r>
        <w:rPr>
          <w:rFonts w:ascii="Times New Roman" w:hAnsi="Times New Roman"/>
          <w:b w:val="false"/>
          <w:i w:val="false"/>
          <w:color w:val="000000"/>
          <w:sz w:val="22"/>
        </w:rPr>
        <w:t xml:space="preserve">The commission shall maintain the rule-making file for a period of not less than five years from the later of the date the rule to which it pertains became effective, the date of the Notice of Intended Action, or the date of any written criticism as described in </w:t>
      </w:r>
      <w:hyperlink r:id="rId30">
        <w:r>
          <w:rPr>
            <w:rStyle w:val="Hyperlink"/>
            <w:rFonts w:ascii="Times New Roman" w:hAnsi="Times New Roman"/>
            <w:b w:val="false"/>
            <w:i w:val="false"/>
            <w:color w:val="000000"/>
            <w:sz w:val="22"/>
          </w:rPr>
          <w:t>2.13(2)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283—2.14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commission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commission shall use the standard form prescribed by the administrative rules coordinator.</w:t>
      </w:r>
    </w:p>
    <w:p>
      <w:pPr>
        <w:spacing w:before="0" w:after="0"/>
        <w:ind w:left="120"/>
        <w:jc w:val="both"/>
      </w:pPr>
      <w:r>
        <w:rPr>
          <w:rFonts w:ascii="Times New Roman" w:hAnsi="Times New Roman"/>
          <w:b/>
          <w:i w:val="false"/>
          <w:color w:val="000000"/>
          <w:sz w:val="22"/>
        </w:rPr>
        <w:t>283—2.15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commission makes a rule effective prior to its indexing and publication in reliance upon the provisions of Iowa Code section </w:t>
      </w:r>
      <w:hyperlink r:id="rId31">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commission shall employ all reasonable efforts to make its contents known to the persons who may be affected by that rule prior to the rule’s indexing and publication. The term “all reasonable efforts” requires the commission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commission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2">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subrule </w:t>
      </w:r>
      <w:hyperlink r:id="rId33">
        <w:r>
          <w:rPr>
            <w:rStyle w:val="Hyperlink"/>
            <w:rFonts w:ascii="Times New Roman" w:hAnsi="Times New Roman"/>
            <w:b w:val="false"/>
            <w:i w:val="false"/>
            <w:color w:val="000000"/>
            <w:sz w:val="22"/>
          </w:rPr>
          <w:t>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283—2.16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commission shall maintain an official, current, and dated compilation that is indexed by subject, containing all of its general statements of policy within the scope of Iowa Code section </w:t>
      </w:r>
      <w:hyperlink r:id="rId34">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5">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commission to the detriment of any person who does not have actual, timely knowledge of the contents of the statement until the requirements of subrule </w:t>
      </w:r>
      <w:hyperlink r:id="rId36">
        <w:r>
          <w:rPr>
            <w:rStyle w:val="Hyperlink"/>
            <w:rFonts w:ascii="Times New Roman" w:hAnsi="Times New Roman"/>
            <w:b w:val="false"/>
            <w:i w:val="false"/>
            <w:color w:val="000000"/>
            <w:sz w:val="22"/>
          </w:rPr>
          <w:t>2.16(1)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283—2.17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commission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commission to conduct a formal review of a specified rule. Upon approval of that request by the administrative rules coordinator, the commission shall conduct a formal review of a specified rule to determine whether a new rule should be adopted instead or the rule should be amended or repealed. The commission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commission shall prepare within a reasonable time a written report summarizing its findings, its supporting reasons, and any proposed course of action. The report must include a concise statement of the commission’s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commission or granted by the commission. The report shall describe alternative solutions to resolve the criticisms of the rule, the reasons any were rejected, and any changes made in the rule in response to the criticisms as well as the reasons for the changes. A copy of the commission’s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3/9/82, Notice 1/20/82—published 3/31/82, effective 5/5/82]</w:t>
      </w:r>
    </w:p>
    <w:p>
      <w:pPr>
        <w:spacing w:before="0" w:after="0"/>
        <w:ind w:left="120"/>
        <w:jc w:val="center"/>
      </w:pPr>
      <w:r>
        <w:rPr>
          <w:rFonts w:ascii="Times New Roman" w:hAnsi="Times New Roman"/>
          <w:b w:val="false"/>
          <w:i w:val="false"/>
          <w:color w:val="000000"/>
          <w:sz w:val="21"/>
        </w:rPr>
        <w:t>[Filed 4/16/87, Notice 2/11/87—published 5/6/87, effective 6/10/87]</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1490C</w:t>
      </w:r>
      <w:r>
        <w:rPr>
          <w:rFonts w:ascii="Times New Roman" w:hAnsi="Times New Roman"/>
          <w:b w:val="false"/>
          <w:i w:val="false"/>
          <w:color w:val="000000"/>
          <w:sz w:val="21"/>
        </w:rPr>
        <w:t xml:space="preserve"> (Notice ARC 1346C, IAB 2/19/14)</w:t>
      </w:r>
      <w:r>
        <w:rPr>
          <w:rFonts w:ascii="Times New Roman" w:hAnsi="Times New Roman"/>
          <w:b w:val="false"/>
          <w:i w:val="false"/>
          <w:color w:val="000000"/>
          <w:sz w:val="21"/>
        </w:rPr>
        <w:t>, IAB 6/11/14, effective 7/30/14]</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283.2.12.pdf" Type="http://schemas.openxmlformats.org/officeDocument/2006/relationships/hyperlink" Id="rId9"/>
    <Relationship TargetMode="External" Target="https://www.legis.iowa.gov/Subscribe/agencyChanges.aspx"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17A.4A.pdf" Type="http://schemas.openxmlformats.org/officeDocument/2006/relationships/hyperlink" Id="rId21"/>
    <Relationship TargetMode="External" Target="https://www.legis.iowa.gov/docs/ico/chapter/25B.6.pdf" Type="http://schemas.openxmlformats.org/officeDocument/2006/relationships/hyperlink" Id="rId22"/>
    <Relationship TargetMode="External" Target="https://www.legis.iowa.gov/docs/iac/rule/283.2.10.pdf" Type="http://schemas.openxmlformats.org/officeDocument/2006/relationships/hyperlink" Id="rId23"/>
    <Relationship TargetMode="External" Target="https://www.legis.iowa.gov/docs/iac/rule/283.2.10.pdf" Type="http://schemas.openxmlformats.org/officeDocument/2006/relationships/hyperlink" Id="rId24"/>
    <Relationship TargetMode="External" Target="https://www.legis.iowa.gov/docs/iac/rule/283.2.10.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17A.4.pdf" Type="http://schemas.openxmlformats.org/officeDocument/2006/relationships/hyperlink" Id="rId29"/>
    <Relationship TargetMode="External" Target="https://www.legis.iowa.gov/docs/iac/rule/283.2.13.pdf" Type="http://schemas.openxmlformats.org/officeDocument/2006/relationships/hyperlink" Id="rId30"/>
    <Relationship TargetMode="External" Target="https://www.legis.iowa.gov/docs/ico/chapter/17A.5.pdf" Type="http://schemas.openxmlformats.org/officeDocument/2006/relationships/hyperlink" Id="rId31"/>
    <Relationship TargetMode="External" Target="https://www.legis.iowa.gov/docs/ico/chapter/17A.5.pdf" Type="http://schemas.openxmlformats.org/officeDocument/2006/relationships/hyperlink" Id="rId32"/>
    <Relationship TargetMode="External" Target="https://www.legis.iowa.gov/docs/iac/rule/283.2.15.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co/chapter/17A.2.pdf" Type="http://schemas.openxmlformats.org/officeDocument/2006/relationships/hyperlink" Id="rId35"/>
    <Relationship TargetMode="External" Target="https://www.legis.iowa.gov/docs/iac/rule/283.2.16.pdf" Type="http://schemas.openxmlformats.org/officeDocument/2006/relationships/hyperlink" Id="rId36"/>
    <Relationship TargetMode="External" Target="https://www.legis.iowa.gov/docs/ico/chapter/17A.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