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FUTURE READY IOWA SKILLED WORKFORCE LAST-DOLLAR SCHOLARSHIP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283—15.1</w:t>
      </w:r>
      <w:r>
        <w:rPr>
          <w:rFonts w:ascii="Times New Roman" w:hAnsi="Times New Roman"/>
          <w:b/>
          <w:i w:val="false"/>
          <w:color w:val="000000"/>
          <w:sz w:val="22"/>
        </w:rPr>
        <w:t xml:space="preserve">(261) </w:t>
      </w:r>
      <w:r>
        <w:rPr>
          <w:rFonts w:ascii="Times New Roman" w:hAnsi="Times New Roman"/>
          <w:b/>
          <w:i w:val="false"/>
          <w:color w:val="000000"/>
          <w:sz w:val="22"/>
        </w:rPr>
        <w:t xml:space="preserve">Basis for aid. </w:t>
      </w:r>
      <w:r>
        <w:rPr>
          <w:rFonts w:ascii="Times New Roman" w:hAnsi="Times New Roman"/>
          <w:b w:val="false"/>
          <w:i w:val="false"/>
          <w:color w:val="000000"/>
          <w:sz w:val="22"/>
        </w:rPr>
        <w:t>The future ready Iowa skilled workforce last-dollar scholarship program provides scholarship assistance to Iowa residents enrolled in eligible programs aligned with high-demand jobs.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283—15.2</w:t>
      </w:r>
      <w:r>
        <w:rPr>
          <w:rFonts w:ascii="Times New Roman" w:hAnsi="Times New Roman"/>
          <w:b/>
          <w:i w:val="false"/>
          <w:color w:val="000000"/>
          <w:sz w:val="22"/>
        </w:rPr>
        <w:t xml:space="preserve">(261)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“Adult learner” </w:t>
      </w:r>
      <w:r>
        <w:rPr>
          <w:rFonts w:ascii="Times New Roman" w:hAnsi="Times New Roman"/>
          <w:b w:val="false"/>
          <w:i w:val="false"/>
          <w:color w:val="000000"/>
          <w:sz w:val="22"/>
        </w:rPr>
        <w:t xml:space="preserve">means an eligible student who attains the age of 20 as of July 1 prior to the year of enrollment and who has not received an award under </w:t>
      </w:r>
      <w:hyperlink r:id="rId5">
        <w:r>
          <w:rPr>
            <w:rStyle w:val="Hyperlink"/>
            <w:rFonts w:ascii="Times New Roman" w:hAnsi="Times New Roman"/>
            <w:b w:val="false"/>
            <w:i w:val="false"/>
            <w:color w:val="000000"/>
            <w:sz w:val="22"/>
          </w:rPr>
          <w:t>subparagraph 15.3(1)</w:t>
        </w:r>
      </w:hyperlink>
      <w:r>
        <w:rPr>
          <w:rFonts w:ascii="Times New Roman" w:hAnsi="Times New Roman"/>
          <w:b w:val="false"/>
          <w:i/>
          <w:color w:val="000000"/>
          <w:sz w:val="22"/>
        </w:rPr>
        <w:t>“j”</w:t>
      </w:r>
      <w:r>
        <w:rPr>
          <w:rFonts w:ascii="Times New Roman" w:hAnsi="Times New Roman"/>
          <w:b w:val="false"/>
          <w:i w:val="false"/>
          <w:color w:val="000000"/>
          <w:sz w:val="22"/>
        </w:rPr>
        <w:t xml:space="preserve">(1) or </w:t>
      </w:r>
      <w:hyperlink r:id="rId6">
        <w:r>
          <w:rPr>
            <w:rStyle w:val="Hyperlink"/>
            <w:rFonts w:ascii="Times New Roman" w:hAnsi="Times New Roman"/>
            <w:b w:val="false"/>
            <w:i w:val="false"/>
            <w:color w:val="000000"/>
            <w:sz w:val="22"/>
          </w:rPr>
          <w:t>15.3(1)</w:t>
        </w:r>
      </w:hyperlink>
      <w:r>
        <w:rPr>
          <w:rFonts w:ascii="Times New Roman" w:hAnsi="Times New Roman"/>
          <w:b w:val="false"/>
          <w:i/>
          <w:color w:val="000000"/>
          <w:sz w:val="22"/>
        </w:rPr>
        <w:t>“j”</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means a career and technical education program that has a classification of instructional program code approved by the Iowa department of education and that meets similar criteria as established for career and technical education programs approved under 281—Chapter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state-recognized work-based learning program” </w:t>
      </w:r>
      <w:r>
        <w:rPr>
          <w:rFonts w:ascii="Times New Roman" w:hAnsi="Times New Roman"/>
          <w:b w:val="false"/>
          <w:i w:val="false"/>
          <w:color w:val="000000"/>
          <w:sz w:val="22"/>
        </w:rPr>
        <w:t>means a structured educational and training program that includes authentic worksite training and is approved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“Continuous enrollment” </w:t>
      </w:r>
      <w:r>
        <w:rPr>
          <w:rFonts w:ascii="Times New Roman" w:hAnsi="Times New Roman"/>
          <w:b w:val="false"/>
          <w:i w:val="false"/>
          <w:color w:val="000000"/>
          <w:sz w:val="22"/>
        </w:rPr>
        <w:t>means an eligible student is enrolled in the fall and spring semesters, or the equivalent, of a single year. Enrollment in the summer semester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“Credential” </w:t>
      </w:r>
      <w:r>
        <w:rPr>
          <w:rFonts w:ascii="Times New Roman" w:hAnsi="Times New Roman"/>
          <w:b w:val="false"/>
          <w:i w:val="false"/>
          <w:color w:val="000000"/>
          <w:sz w:val="22"/>
        </w:rPr>
        <w:t>means a Title IV-eligible program of study leading to a postsecondary certificate, diploma, or degree, conferring no more than an associate degree, which, upon completion, leads directly to employment, and is awarded by an eligible institution and earned in a program of study that leads to a designated high-demand job.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program” </w:t>
      </w:r>
      <w:r>
        <w:rPr>
          <w:rFonts w:ascii="Times New Roman" w:hAnsi="Times New Roman"/>
          <w:b w:val="false"/>
          <w:i w:val="false"/>
          <w:color w:val="000000"/>
          <w:sz w:val="22"/>
        </w:rPr>
        <w:t xml:space="preserve">means an approved program certified through the selection process described in rule 283—15.5(261).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“Full-time” </w:t>
      </w:r>
      <w:r>
        <w:rPr>
          <w:rFonts w:ascii="Times New Roman" w:hAnsi="Times New Roman"/>
          <w:b w:val="false"/>
          <w:i w:val="false"/>
          <w:color w:val="000000"/>
          <w:sz w:val="22"/>
        </w:rPr>
        <w:t>means enrollment in at least 12 hours per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“Part-time” </w:t>
      </w:r>
      <w:r>
        <w:rPr>
          <w:rFonts w:ascii="Times New Roman" w:hAnsi="Times New Roman"/>
          <w:b w:val="false"/>
          <w:i w:val="false"/>
          <w:color w:val="000000"/>
          <w:sz w:val="22"/>
        </w:rPr>
        <w:t>means enrollment in at least 6 but less than 12 hours per semester or the equivalent.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“Semester” </w:t>
      </w:r>
      <w:r>
        <w:rPr>
          <w:rFonts w:ascii="Times New Roman" w:hAnsi="Times New Roman"/>
          <w:b w:val="false"/>
          <w:i w:val="false"/>
          <w:color w:val="000000"/>
          <w:sz w:val="22"/>
        </w:rPr>
        <w:t>means the fall, spring, or summer term of enrollment at an eligible institution, if the eligible institution is on a semester system, or the equivalent, if the institution is on a system other than a semester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5223C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283—15.3</w:t>
      </w:r>
      <w:r>
        <w:rPr>
          <w:rFonts w:ascii="Times New Roman" w:hAnsi="Times New Roman"/>
          <w:b/>
          <w:i w:val="false"/>
          <w:color w:val="000000"/>
          <w:sz w:val="22"/>
        </w:rPr>
        <w:t xml:space="preserve">(261) </w:t>
      </w:r>
      <w:r>
        <w:rPr>
          <w:rFonts w:ascii="Times New Roman" w:hAnsi="Times New Roman"/>
          <w:b/>
          <w:i w:val="false"/>
          <w:color w:val="000000"/>
          <w:sz w:val="22"/>
        </w:rPr>
        <w:t xml:space="preserve">Eligible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15.3(1)</w:t>
      </w:r>
      <w:r>
        <w:rPr>
          <w:rFonts w:ascii="Times New Roman" w:hAnsi="Times New Roman"/>
          <w:b w:val="false"/>
          <w:i w:val="false"/>
          <w:color w:val="000000"/>
          <w:sz w:val="22"/>
        </w:rPr>
        <w:t> </w:t>
      </w:r>
      <w:r>
        <w:rPr>
          <w:rFonts w:ascii="Times New Roman" w:hAnsi="Times New Roman"/>
          <w:b w:val="false"/>
          <w:i w:val="false"/>
          <w:color w:val="000000"/>
          <w:sz w:val="22"/>
        </w:rPr>
        <w:t>An applicant of the future ready Iowa skilled workforce last-dollar scholarship program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an Iowa resident as defined in </w:t>
      </w:r>
      <w:hyperlink r:id="rId7">
        <w:r>
          <w:rPr>
            <w:rStyle w:val="Hyperlink"/>
            <w:rFonts w:ascii="Times New Roman" w:hAnsi="Times New Roman"/>
            <w:b w:val="false"/>
            <w:i w:val="false"/>
            <w:color w:val="000000"/>
            <w:sz w:val="22"/>
          </w:rPr>
          <w:t>283—Chapter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Annually complete the Free Application for Federal Student Aid and any other application required by the college student aid commission by the priority application date specified by the college student aid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 an orientation session, in person or virtually, for the eligible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Register for courses with the assistance of an advisor, create a graduation plan as required under the eligible program, and participate in available academic advising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Enroll in an eligible program at an eligible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Consider participating in the volunteer mentor program, as defined by the commission on volunteer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Participate in available career advising sessions as required under the eligible program, including creation of a career plan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Meet satisfactory academic progress standards as defined by the eligible institution in accordance with the provisions of the federal Higher Education Act of 1965,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Receive no more than the equivalent of five full-time awards or eight part-time awards.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Meet one of the following three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becoming an adult learner, enroll on a full-time or part-time basis following graduation from an Iowa high school, completion of private instruction under Iowa Code chapter </w:t>
      </w:r>
      <w:hyperlink r:id="rId8">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or receipt of a high school equivalency diploma under Iowa Code chapter </w:t>
      </w:r>
      <w:hyperlink r:id="rId9">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 and maintain continuous enrollment on a full-time or part-time basis in subsequent semesters, with the exception of the summer semester, to receive additional awards. An eligible student must enroll on at least a part-time basis during the summer semester to receive an award. An eligible student may enroll in fewer than 12 semester hours, or the equivalent, in the semester that the credential will be completed if full-time enrollment is not required to complete the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becoming an adult learner, and following graduation from an Iowa high school, completion of private instruction under Iowa Code chapter </w:t>
      </w:r>
      <w:hyperlink r:id="rId10">
        <w:r>
          <w:rPr>
            <w:rStyle w:val="Hyperlink"/>
            <w:rFonts w:ascii="Times New Roman" w:hAnsi="Times New Roman"/>
            <w:b w:val="false"/>
            <w:i w:val="false"/>
            <w:color w:val="000000"/>
            <w:sz w:val="22"/>
          </w:rPr>
          <w:t>299A</w:t>
        </w:r>
      </w:hyperlink>
      <w:r>
        <w:rPr>
          <w:rFonts w:ascii="Times New Roman" w:hAnsi="Times New Roman"/>
          <w:b w:val="false"/>
          <w:i w:val="false"/>
          <w:color w:val="000000"/>
          <w:sz w:val="22"/>
        </w:rPr>
        <w:t xml:space="preserve">, or receipt of a high school equivalency diploma under Iowa Code chapter </w:t>
      </w:r>
      <w:hyperlink r:id="rId11">
        <w:r>
          <w:rPr>
            <w:rStyle w:val="Hyperlink"/>
            <w:rFonts w:ascii="Times New Roman" w:hAnsi="Times New Roman"/>
            <w:b w:val="false"/>
            <w:i w:val="false"/>
            <w:color w:val="000000"/>
            <w:sz w:val="22"/>
          </w:rPr>
          <w:t>259A</w:t>
        </w:r>
      </w:hyperlink>
      <w:r>
        <w:rPr>
          <w:rFonts w:ascii="Times New Roman" w:hAnsi="Times New Roman"/>
          <w:b w:val="false"/>
          <w:i w:val="false"/>
          <w:color w:val="000000"/>
          <w:sz w:val="22"/>
        </w:rPr>
        <w:t>, enter into full-time or part-time employment in a state-recognized work-based learning program approved by the Iowa department of education and enroll on a full-time or part-time basis and maintain continuous enrollment on a full-time or part-time basis in subsequent terms to receive additional awards. An eligible student may enroll in fewer than six semester hours, or the equivalent, in the semester that the credential will be completed if half-time enrollment is not required to complete the program of study.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high school diploma or high school equivalency diploma, and after becoming an adult learner, enroll on a full-time or part-time basis in an eligible program at an eligible institution, and maintain continuous enrollment on a full-time or part-time basis in subsequent semesters to receive additional awards. An eligible student may enroll in fewer than six semester hours, or the equivalent, in the semester that the credential will be completed if half-time enrollment is not required to complete the program of study.</w:t>
      </w:r>
    </w:p>
    <w:p>
      <w:pPr>
        <w:spacing w:before="0" w:after="0"/>
        <w:ind w:left="120"/>
        <w:jc w:val="both"/>
      </w:pPr>
      <w:r>
        <w:rPr>
          <w:rFonts w:ascii="Times New Roman" w:hAnsi="Times New Roman"/>
          <w:b w:val="false"/>
          <w:i w:val="false"/>
          <w:color w:val="000000"/>
          <w:sz w:val="22"/>
        </w:rPr>
        <w:t>If the student discontinues enrollment at the eligible institution due to military deployment, a temporary medical incapacity, in relation to the declaration of a national or state emergency, or other exceptional circumstances approved by the commission, the student must apply for a waiver. If the waiver is approved, the student is not required to maintain continuous enrollment during the period covered by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5223C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6730C</w:t>
      </w:r>
      <w:r>
        <w:rPr>
          <w:rFonts w:ascii="Times New Roman" w:hAnsi="Times New Roman"/>
          <w:b w:val="false"/>
          <w:i w:val="false"/>
          <w:color w:val="000000"/>
          <w:sz w:val="16"/>
        </w:rPr>
        <w:t>, IAB 12/14/22, effective 1/18/23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283—15.4</w:t>
      </w:r>
      <w:r>
        <w:rPr>
          <w:rFonts w:ascii="Times New Roman" w:hAnsi="Times New Roman"/>
          <w:b/>
          <w:i w:val="false"/>
          <w:color w:val="000000"/>
          <w:sz w:val="22"/>
        </w:rPr>
        <w:t xml:space="preserve">(261) </w:t>
      </w:r>
      <w:r>
        <w:rPr>
          <w:rFonts w:ascii="Times New Roman" w:hAnsi="Times New Roman"/>
          <w:b/>
          <w:i w:val="false"/>
          <w:color w:val="000000"/>
          <w:sz w:val="22"/>
        </w:rPr>
        <w:t xml:space="preserve">Award amounts.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15.4(1)</w:t>
      </w:r>
      <w:r>
        <w:rPr>
          <w:rFonts w:ascii="Times New Roman" w:hAnsi="Times New Roman"/>
          <w:b w:val="false"/>
          <w:i w:val="false"/>
          <w:color w:val="000000"/>
          <w:sz w:val="22"/>
        </w:rPr>
        <w:t> </w:t>
      </w:r>
      <w:r>
        <w:rPr>
          <w:rFonts w:ascii="Times New Roman" w:hAnsi="Times New Roman"/>
          <w:b w:val="false"/>
          <w:i w:val="false"/>
          <w:color w:val="000000"/>
          <w:sz w:val="22"/>
        </w:rPr>
        <w:t>Awards for eligible students attending Iowa community colleges shall not exceed the remaining tuition and mandatory institutionwide fees after applying federal and state nonrepayable aid. However, awards for eligible students enrolled on a full-time basis shall be at least $250 per semester or the equivalent amount if the eligible institution operates on a system other than the semester system. Awards for eligible students enrolled on a part-time basis shall be the same amount prorated based on the number of semester hours, or the equivalent, in which the part-time student enrolls.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15.4(2)</w:t>
      </w:r>
      <w:r>
        <w:rPr>
          <w:rFonts w:ascii="Times New Roman" w:hAnsi="Times New Roman"/>
          <w:b w:val="false"/>
          <w:i w:val="false"/>
          <w:color w:val="000000"/>
          <w:sz w:val="22"/>
        </w:rPr>
        <w:t> </w:t>
      </w:r>
      <w:r>
        <w:rPr>
          <w:rFonts w:ascii="Times New Roman" w:hAnsi="Times New Roman"/>
          <w:b w:val="false"/>
          <w:i w:val="false"/>
          <w:color w:val="000000"/>
          <w:sz w:val="22"/>
        </w:rPr>
        <w:t xml:space="preserve">Awards for eligible students attending an accredited private institution or eligible institution, as defined in Iowa Code section </w:t>
      </w:r>
      <w:hyperlink r:id="rId12">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shall not exceed the average tuition and mandatory institutionwide fees at Iowa community colleges after applying federal and state nonrepayable aid. However, awards for eligible students enrolled on a full-time basis shall be at least $250 per semester or the equivalent amount if the eligible institution operates on a system other than the semester system. Awards for eligible students enrolled on a part-time basis shall be the same amount prorated based on the number of semester hours, or the equivalent, in which the part-time student enrolls. The average resident tuition and mandatory institutionwide fees will be determined by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15.4(3)</w:t>
      </w:r>
      <w:r>
        <w:rPr>
          <w:rFonts w:ascii="Times New Roman" w:hAnsi="Times New Roman"/>
          <w:b w:val="false"/>
          <w:i w:val="false"/>
          <w:color w:val="000000"/>
          <w:sz w:val="22"/>
        </w:rPr>
        <w:t> </w:t>
      </w:r>
      <w:r>
        <w:rPr>
          <w:rFonts w:ascii="Times New Roman" w:hAnsi="Times New Roman"/>
          <w:b w:val="false"/>
          <w:i w:val="false"/>
          <w:color w:val="000000"/>
          <w:sz w:val="22"/>
        </w:rPr>
        <w:t>A student must be enrolled as a regular student in an eligible program that qualifies for Title IV funds. Tuition and institutionwide mandatory fees associated only with coursework required for the student’s Title IV-eligible program of study can be used to determine the award amount.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283—15.5</w:t>
      </w:r>
      <w:r>
        <w:rPr>
          <w:rFonts w:ascii="Times New Roman" w:hAnsi="Times New Roman"/>
          <w:b/>
          <w:i w:val="false"/>
          <w:color w:val="000000"/>
          <w:sz w:val="22"/>
        </w:rPr>
        <w:t xml:space="preserve">(261) </w:t>
      </w:r>
      <w:r>
        <w:rPr>
          <w:rFonts w:ascii="Times New Roman" w:hAnsi="Times New Roman"/>
          <w:b/>
          <w:i w:val="false"/>
          <w:color w:val="000000"/>
          <w:sz w:val="22"/>
        </w:rPr>
        <w:t xml:space="preserve">Selection of eligible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15.5(1)</w:t>
      </w:r>
      <w:r>
        <w:rPr>
          <w:rFonts w:ascii="Times New Roman" w:hAnsi="Times New Roman"/>
          <w:b w:val="false"/>
          <w:i w:val="false"/>
          <w:color w:val="000000"/>
          <w:sz w:val="22"/>
        </w:rPr>
        <w:t> </w:t>
      </w:r>
      <w:r>
        <w:rPr>
          <w:rFonts w:ascii="Times New Roman" w:hAnsi="Times New Roman"/>
          <w:b w:val="false"/>
          <w:i w:val="false"/>
          <w:color w:val="000000"/>
          <w:sz w:val="22"/>
        </w:rPr>
        <w:t xml:space="preserve">An eligible program must lead to a credential aligned with a high-demand job pursuant to Iowa Code section </w:t>
      </w:r>
      <w:hyperlink r:id="rId13">
        <w:r>
          <w:rPr>
            <w:rStyle w:val="Hyperlink"/>
            <w:rFonts w:ascii="Times New Roman" w:hAnsi="Times New Roman"/>
            <w:b w:val="false"/>
            <w:i w:val="false"/>
            <w:color w:val="000000"/>
            <w:sz w:val="22"/>
          </w:rPr>
          <w:t>84A.1B(14)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15.5(2)</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an approved program is considered an eligible program, the department of workforce development and the college student aid commission, in consultation with the Iowa department of education, must jointly certify that the program of study and credential are aligned with a high-demand job.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 xml:space="preserve">; </w:t>
      </w:r>
      <w:r>
        <w:rPr>
          <w:rFonts w:ascii="Times New Roman" w:hAnsi="Times New Roman"/>
          <w:b/>
          <w:i w:val="false"/>
          <w:color w:val="000000"/>
          <w:sz w:val="16"/>
        </w:rPr>
        <w:t>ARC 5223C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283—15.6</w:t>
      </w:r>
      <w:r>
        <w:rPr>
          <w:rFonts w:ascii="Times New Roman" w:hAnsi="Times New Roman"/>
          <w:b/>
          <w:i w:val="false"/>
          <w:color w:val="000000"/>
          <w:sz w:val="22"/>
        </w:rPr>
        <w:t xml:space="preserve">(261) </w:t>
      </w:r>
      <w:r>
        <w:rPr>
          <w:rFonts w:ascii="Times New Roman" w:hAnsi="Times New Roman"/>
          <w:b/>
          <w:i w:val="false"/>
          <w:color w:val="000000"/>
          <w:sz w:val="22"/>
        </w:rPr>
        <w:t xml:space="preserve">Criteria for maintaining eligible program status. </w:t>
      </w:r>
      <w:r>
        <w:rPr>
          <w:rFonts w:ascii="Times New Roman" w:hAnsi="Times New Roman"/>
          <w:b w:val="false"/>
          <w:i w:val="false"/>
          <w:color w:val="000000"/>
          <w:sz w:val="22"/>
        </w:rPr>
        <w:t>The following criteria shall be used in the certification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15.6(1)</w:t>
      </w:r>
      <w:r>
        <w:rPr>
          <w:rFonts w:ascii="Times New Roman" w:hAnsi="Times New Roman"/>
          <w:b w:val="false"/>
          <w:i w:val="false"/>
          <w:color w:val="000000"/>
          <w:sz w:val="22"/>
        </w:rPr>
        <w:t> </w:t>
      </w:r>
      <w:r>
        <w:rPr>
          <w:rFonts w:ascii="Times New Roman" w:hAnsi="Times New Roman"/>
          <w:b w:val="false"/>
          <w:i w:val="false"/>
          <w:color w:val="000000"/>
          <w:sz w:val="22"/>
        </w:rPr>
        <w:t>By providing student data in a form and manner prescribed by the college student aid commission, the eligible institution shall demonstrate the eligible program, upon completion, leads to employment and not primarily to transfer to baccalaureate degree programs. The college student aid commission, the department of workforce development, and the Iowa department of education shall jointly determine employment outcomes, including wage thresholds.</w:t>
      </w:r>
    </w:p>
    <w:p>
      <w:pPr>
        <w:spacing w:before="0" w:after="0"/>
        <w:ind w:left="120"/>
        <w:jc w:val="both"/>
      </w:pPr>
      <w:r>
        <w:rPr>
          <w:rFonts w:ascii="Times New Roman" w:hAnsi="Times New Roman"/>
          <w:b w:val="false"/>
          <w:i w:val="false"/>
          <w:color w:val="000000"/>
          <w:sz w:val="22"/>
        </w:rPr>
        <w:t>If an eligible institution fails to demonstrate that an eligible program meets the certified outcomes for three successive years, new eligible students entering the eligible program are prohibited from receiving awards under this rule until such time that the college student aid commission determines that certified outcomes are being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15.6(2)</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 of all programs eligible for the future ready Iowa skilled workforce last-dollar scholarship program, as well as the required courses and the suggested course sequence, must be available in one prominent location on the eligible institution’s website.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283—15.7</w:t>
      </w:r>
      <w:r>
        <w:rPr>
          <w:rFonts w:ascii="Times New Roman" w:hAnsi="Times New Roman"/>
          <w:b/>
          <w:i w:val="false"/>
          <w:color w:val="000000"/>
          <w:sz w:val="22"/>
        </w:rPr>
        <w:t xml:space="preserve">(261) </w:t>
      </w:r>
      <w:r>
        <w:rPr>
          <w:rFonts w:ascii="Times New Roman" w:hAnsi="Times New Roman"/>
          <w:b/>
          <w:i w:val="false"/>
          <w:color w:val="000000"/>
          <w:sz w:val="22"/>
        </w:rPr>
        <w:t xml:space="preserve">Awarding of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15.7(1)</w:t>
      </w:r>
      <w:r>
        <w:rPr>
          <w:rFonts w:ascii="Times New Roman" w:hAnsi="Times New Roman"/>
          <w:b w:val="false"/>
          <w:i w:val="false"/>
          <w:color w:val="000000"/>
          <w:sz w:val="22"/>
        </w:rPr>
        <w:t> </w:t>
      </w:r>
      <w:r>
        <w:rPr>
          <w:rFonts w:ascii="Times New Roman" w:hAnsi="Times New Roman"/>
          <w:b w:val="false"/>
          <w:i w:val="false"/>
          <w:color w:val="000000"/>
          <w:sz w:val="22"/>
        </w:rPr>
        <w:t>Eligible students who enroll in eligible programs at eligible institutions may receive awards during a semester.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w:t>
      </w:r>
      <w:r>
        <w:rPr>
          <w:rFonts w:ascii="Times New Roman" w:hAnsi="Times New Roman"/>
          <w:b w:val="false"/>
          <w:i w:val="false"/>
          <w:color w:val="000000"/>
          <w:sz w:val="22"/>
        </w:rPr>
        <w:t> </w:t>
      </w:r>
      <w:r>
        <w:rPr>
          <w:rFonts w:ascii="Times New Roman" w:hAnsi="Times New Roman"/>
          <w:b w:val="false"/>
          <w:i w:val="false"/>
          <w:color w:val="000000"/>
          <w:sz w:val="22"/>
        </w:rPr>
        <w:t>In the first year that funding is appropriated, and in the event that funds available are insufficient to award all eligible students, awards are first prioritized to eligible students who were not enrolled during the previous academic year. Applications will be ranked in date-received order, and students who complete the application by the earliest date will receive awards insofar as funds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funds available are insufficient to award all eligible students, awards are first prioritized to eligible students who received an award during the prior year, according to the date the student completes the application. Applications will be ranked in date-received order, and students who complete the application by the earliest date will receive awards insofar as funds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w:t>
      </w:r>
      <w:r>
        <w:rPr>
          <w:rFonts w:ascii="Times New Roman" w:hAnsi="Times New Roman"/>
          <w:b w:val="false"/>
          <w:i w:val="false"/>
          <w:color w:val="000000"/>
          <w:sz w:val="22"/>
        </w:rPr>
        <w:t> </w:t>
      </w:r>
      <w:r>
        <w:rPr>
          <w:rFonts w:ascii="Times New Roman" w:hAnsi="Times New Roman"/>
          <w:b w:val="false"/>
          <w:i w:val="false"/>
          <w:color w:val="000000"/>
          <w:sz w:val="22"/>
        </w:rPr>
        <w:t>In the event that funds available are sufficient to award all eligible students meeting the conditions specified in subrule 15.7(2) or 15.7(3) but are insufficient to award all eligible students, awards are provided to additional eligible students according to the date the student completes the application. Applications will be ranked in date-received order, and students who complete the application by the earliest date will receive awards insofar as funds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state workforce development board or a community college district removes a high-demand job from a list created under </w:t>
      </w:r>
      <w:r>
        <w:rPr>
          <w:rFonts w:ascii="Times New Roman" w:hAnsi="Times New Roman"/>
          <w:b w:val="false"/>
          <w:i w:val="false"/>
          <w:color w:val="000000"/>
          <w:sz w:val="22"/>
        </w:rPr>
        <w:t>2018 Iowa Acts, House File 2458</w:t>
      </w:r>
      <w:r>
        <w:rPr>
          <w:rFonts w:ascii="Times New Roman" w:hAnsi="Times New Roman"/>
          <w:b w:val="false"/>
          <w:i w:val="false"/>
          <w:color w:val="000000"/>
          <w:sz w:val="22"/>
        </w:rPr>
        <w:t xml:space="preserve">, section 7, as amended by 2019 Iowa Acts, House File 758, section 12, an eligible student who received an award in a program of study aligned with that high-demand job shall continue to receive the award as long as the student continues to meet all other eligibility criteria.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283—15.8</w:t>
      </w:r>
      <w:r>
        <w:rPr>
          <w:rFonts w:ascii="Times New Roman" w:hAnsi="Times New Roman"/>
          <w:b/>
          <w:i w:val="false"/>
          <w:color w:val="000000"/>
          <w:sz w:val="22"/>
        </w:rPr>
        <w:t xml:space="preserve">(261) </w:t>
      </w:r>
      <w:r>
        <w:rPr>
          <w:rFonts w:ascii="Times New Roman" w:hAnsi="Times New Roman"/>
          <w:b/>
          <w:i w:val="false"/>
          <w:color w:val="000000"/>
          <w:sz w:val="22"/>
        </w:rPr>
        <w:t xml:space="preserve">Institution 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An institution requesting to participate in the future ready Iowa skilled workforce last-dollar scholarship program must apply to the college student aid commission using the college student aid commission’s designated application. An applicant institution must provide the college student aid commission with documentation establishing eligibility as described in subrule 15.8(2). Applicant institutions seeking to participate in the future ready Iowa skilled workforce last-dollar scholarship program must submit applications by October 1 of the year prior to the beginning of the academic year for which they are applying for participation, with the exception of the first state fiscal year in which appropriations are authorized for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15.8(2)</w:t>
      </w:r>
      <w:r>
        <w:rPr>
          <w:rFonts w:ascii="Times New Roman" w:hAnsi="Times New Roman"/>
          <w:b w:val="false"/>
          <w:i w:val="false"/>
          <w:color w:val="000000"/>
          <w:sz w:val="22"/>
        </w:rPr>
        <w:t> </w:t>
      </w:r>
      <w:r>
        <w:rPr>
          <w:rFonts w:ascii="Times New Roman" w:hAnsi="Times New Roman"/>
          <w:b w:val="false"/>
          <w:i/>
          <w:color w:val="000000"/>
          <w:sz w:val="22"/>
        </w:rPr>
        <w:t xml:space="preserve">Eligible institution. </w:t>
      </w:r>
      <w:r>
        <w:rPr>
          <w:rFonts w:ascii="Times New Roman" w:hAnsi="Times New Roman"/>
          <w:b w:val="false"/>
          <w:i w:val="false"/>
          <w:color w:val="000000"/>
          <w:sz w:val="22"/>
        </w:rPr>
        <w:t xml:space="preserve">An Iowa community college as defined in Iowa Code section </w:t>
      </w:r>
      <w:hyperlink r:id="rId14">
        <w:r>
          <w:rPr>
            <w:rStyle w:val="Hyperlink"/>
            <w:rFonts w:ascii="Times New Roman" w:hAnsi="Times New Roman"/>
            <w:b w:val="false"/>
            <w:i w:val="false"/>
            <w:color w:val="000000"/>
            <w:sz w:val="22"/>
          </w:rPr>
          <w:t>260C.2</w:t>
        </w:r>
      </w:hyperlink>
      <w:r>
        <w:rPr>
          <w:rFonts w:ascii="Times New Roman" w:hAnsi="Times New Roman"/>
          <w:b w:val="false"/>
          <w:i w:val="false"/>
          <w:color w:val="000000"/>
          <w:sz w:val="22"/>
        </w:rPr>
        <w:t xml:space="preserve"> or an accredited private institution or eligible institution as defined in Iowa Code section </w:t>
      </w:r>
      <w:hyperlink r:id="rId15">
        <w:r>
          <w:rPr>
            <w:rStyle w:val="Hyperlink"/>
            <w:rFonts w:ascii="Times New Roman" w:hAnsi="Times New Roman"/>
            <w:b w:val="false"/>
            <w:i w:val="false"/>
            <w:color w:val="000000"/>
            <w:sz w:val="22"/>
          </w:rPr>
          <w:t>261.9</w:t>
        </w:r>
      </w:hyperlink>
      <w:r>
        <w:rPr>
          <w:rFonts w:ascii="Times New Roman" w:hAnsi="Times New Roman"/>
          <w:b w:val="false"/>
          <w:i w:val="false"/>
          <w:color w:val="000000"/>
          <w:sz w:val="22"/>
        </w:rPr>
        <w:t xml:space="preserv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Require eligible students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 an orientation session, in person or virtually, for the eligible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Register for courses with the assistance of an advisor, create a graduation plan as required under the eligible program, and participate in available academic advising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Participate in available career advising sessions as required under the eligible program, including creation of a career plan when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Notify eligible students of the volunteer mentor program, encourage them to participate, and facilitate, in collaboration with the commission on volunteer service, the assignment of a volunteer mentor to each eligible student, based on the student’s interests.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Facilitate connections through campus career centers and services to internships and similar local, state, and federal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Market the eligible institution’s eligible programs and optional incentives on the eligible institution’s website and to other relevant agencies and organizations as recommended by the college student aid commission, commission on volunteer service, or department of workforce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information annually to the college student aid commission including, but not limited to, information regarding recipients, scholarship disbursements, recipients’ eligible programs, recipient completion rates by eligible program, and recipient employment outcomes. Information shall be submitted in the format prescribed by the college student aid commission. The college student aid commission may collaborate with other state agencies to obtain data from existing sources to reduce eligible institution reporting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15.8(3)</w:t>
      </w:r>
      <w:r>
        <w:rPr>
          <w:rFonts w:ascii="Times New Roman" w:hAnsi="Times New Roman"/>
          <w:b w:val="false"/>
          <w:i w:val="false"/>
          <w:color w:val="000000"/>
          <w:sz w:val="22"/>
        </w:rPr>
        <w:t> </w:t>
      </w:r>
      <w:r>
        <w:rPr>
          <w:rFonts w:ascii="Times New Roman" w:hAnsi="Times New Roman"/>
          <w:b w:val="false"/>
          <w:i/>
          <w:color w:val="000000"/>
          <w:sz w:val="22"/>
        </w:rPr>
        <w:t xml:space="preserve">Compliance reviews. </w:t>
      </w:r>
      <w:r>
        <w:rPr>
          <w:rFonts w:ascii="Times New Roman" w:hAnsi="Times New Roman"/>
          <w:b w:val="false"/>
          <w:i w:val="false"/>
          <w:color w:val="000000"/>
          <w:sz w:val="22"/>
        </w:rPr>
        <w:t>The college student aid commission shall periodically investigate and review compliance of institutions participating in the future ready Iowa skilled workforce last-dollar scholarship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283—15.9</w:t>
      </w:r>
      <w:r>
        <w:rPr>
          <w:rFonts w:ascii="Times New Roman" w:hAnsi="Times New Roman"/>
          <w:b/>
          <w:i w:val="false"/>
          <w:color w:val="000000"/>
          <w:sz w:val="22"/>
        </w:rPr>
        <w:t xml:space="preserve">(261) </w:t>
      </w:r>
      <w:r>
        <w:rPr>
          <w:rFonts w:ascii="Times New Roman" w:hAnsi="Times New Roman"/>
          <w:b/>
          <w:i w:val="false"/>
          <w:color w:val="000000"/>
          <w:sz w:val="22"/>
        </w:rPr>
        <w:t xml:space="preserve">Award notification. </w:t>
      </w:r>
      <w:r>
        <w:rPr>
          <w:rFonts w:ascii="Times New Roman" w:hAnsi="Times New Roman"/>
          <w:b w:val="false"/>
          <w:i w:val="false"/>
          <w:color w:val="000000"/>
          <w:sz w:val="22"/>
        </w:rPr>
        <w:t xml:space="preserve">A scholarship recipient will be notified of the award by the institution to which application is made. The institution is responsible for completing necessary verification and for coordinating other aid to ensure compliance with student eligibility requirements and allowable award amounts. The eligible institution shall report changes in student eligibility to the college student aid commission.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283—15.10</w:t>
      </w:r>
      <w:r>
        <w:rPr>
          <w:rFonts w:ascii="Times New Roman" w:hAnsi="Times New Roman"/>
          <w:b/>
          <w:i w:val="false"/>
          <w:color w:val="000000"/>
          <w:sz w:val="22"/>
        </w:rPr>
        <w:t xml:space="preserve">(261) </w:t>
      </w:r>
      <w:r>
        <w:rPr>
          <w:rFonts w:ascii="Times New Roman" w:hAnsi="Times New Roman"/>
          <w:b/>
          <w:i w:val="false"/>
          <w:color w:val="000000"/>
          <w:sz w:val="22"/>
        </w:rPr>
        <w:t xml:space="preserve">Award transfers and adjustments. </w:t>
      </w:r>
      <w:r>
        <w:rPr>
          <w:rFonts w:ascii="Times New Roman" w:hAnsi="Times New Roman"/>
          <w:b w:val="false"/>
          <w:i w:val="false"/>
          <w:color w:val="000000"/>
          <w:sz w:val="22"/>
        </w:rPr>
        <w:t>Recipients are responsible for promptly notifying the appropriate eligible institution of any change in enrollment. The eligible institution will make necessary changes and notify the college student aid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283—15.11</w:t>
      </w:r>
      <w:r>
        <w:rPr>
          <w:rFonts w:ascii="Times New Roman" w:hAnsi="Times New Roman"/>
          <w:b/>
          <w:i w:val="false"/>
          <w:color w:val="000000"/>
          <w:sz w:val="22"/>
        </w:rPr>
        <w:t xml:space="preserve">(261) </w:t>
      </w:r>
      <w:r>
        <w:rPr>
          <w:rFonts w:ascii="Times New Roman" w:hAnsi="Times New Roman"/>
          <w:b/>
          <w:i w:val="false"/>
          <w:color w:val="000000"/>
          <w:sz w:val="22"/>
        </w:rPr>
        <w:t xml:space="preserve">Restrictions. </w:t>
      </w:r>
      <w:r>
        <w:rPr>
          <w:rFonts w:ascii="Times New Roman" w:hAnsi="Times New Roman"/>
          <w:b w:val="false"/>
          <w:i w:val="false"/>
          <w:color w:val="000000"/>
          <w:sz w:val="22"/>
        </w:rPr>
        <w:t>A student who is in default on a Stafford Loan, an SLS Loan, or a Perkins/National Direct/National Defense Student Loan or who owes a repayment on any Title IV grant assistance or state award shall be ineligible for assistance under the future ready Iowa skilled workforce last-dollar scholarship program. Eligibility for state aid may be reinstated upon payment in full of the delinquent obligation or by the college student aid commission’s ruling on the basis of adequate extenuating evidence presented in an appeal under the procedures set forth in 283—Chapters 4 and 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4607C</w:t>
      </w:r>
      <w:r>
        <w:rPr>
          <w:rFonts w:ascii="Times New Roman" w:hAnsi="Times New Roman"/>
          <w:b w:val="false"/>
          <w:i w:val="false"/>
          <w:color w:val="000000"/>
          <w:sz w:val="16"/>
        </w:rPr>
        <w:t>, IAB 8/14/19, effective 9/18/19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2018 Iowa Acts, House File 2458</w:t>
      </w:r>
      <w:r>
        <w:rPr>
          <w:rFonts w:ascii="Times New Roman" w:hAnsi="Times New Roman"/>
          <w:b w:val="false"/>
          <w:i w:val="false"/>
          <w:color w:val="000000"/>
          <w:sz w:val="22"/>
        </w:rPr>
        <w:t>, section 12.</w:t>
      </w:r>
    </w:p>
    <w:p>
      <w:pPr>
        <w:spacing w:before="0" w:after="0"/>
        <w:ind w:left="120"/>
        <w:jc w:val="center"/>
      </w:pPr>
      <w:r>
        <w:rPr>
          <w:rFonts w:ascii="Times New Roman" w:hAnsi="Times New Roman"/>
          <w:b w:val="false"/>
          <w:i w:val="false"/>
          <w:color w:val="000000"/>
          <w:sz w:val="21"/>
        </w:rPr>
        <w:t>[Filed ARC 4607C</w:t>
      </w:r>
      <w:r>
        <w:rPr>
          <w:rFonts w:ascii="Times New Roman" w:hAnsi="Times New Roman"/>
          <w:b w:val="false"/>
          <w:i w:val="false"/>
          <w:color w:val="000000"/>
          <w:sz w:val="21"/>
        </w:rPr>
        <w:t xml:space="preserve"> (Notice ARC 4474C, IAB 6/5/19)</w:t>
      </w:r>
      <w:r>
        <w:rPr>
          <w:rFonts w:ascii="Times New Roman" w:hAnsi="Times New Roman"/>
          <w:b w:val="false"/>
          <w:i w:val="false"/>
          <w:color w:val="000000"/>
          <w:sz w:val="21"/>
        </w:rPr>
        <w:t>, IAB 8/14/19, effective 9/18/19]</w:t>
      </w:r>
    </w:p>
    <w:p>
      <w:pPr>
        <w:spacing w:before="0" w:after="0"/>
        <w:ind w:left="120"/>
        <w:jc w:val="center"/>
      </w:pPr>
      <w:r>
        <w:rPr>
          <w:rFonts w:ascii="Times New Roman" w:hAnsi="Times New Roman"/>
          <w:b w:val="false"/>
          <w:i w:val="false"/>
          <w:color w:val="000000"/>
          <w:sz w:val="21"/>
        </w:rPr>
        <w:t>[Filed ARC 5223C</w:t>
      </w:r>
      <w:r>
        <w:rPr>
          <w:rFonts w:ascii="Times New Roman" w:hAnsi="Times New Roman"/>
          <w:b w:val="false"/>
          <w:i w:val="false"/>
          <w:color w:val="000000"/>
          <w:sz w:val="21"/>
        </w:rPr>
        <w:t xml:space="preserve"> (Notice ARC 5125C, IAB 8/12/20)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6730C</w:t>
      </w:r>
      <w:r>
        <w:rPr>
          <w:rFonts w:ascii="Times New Roman" w:hAnsi="Times New Roman"/>
          <w:b w:val="false"/>
          <w:i w:val="false"/>
          <w:color w:val="000000"/>
          <w:sz w:val="21"/>
        </w:rPr>
        <w:t xml:space="preserve"> (Notice ARC 6479C, IAB 8/24/22)</w:t>
      </w:r>
      <w:r>
        <w:rPr>
          <w:rFonts w:ascii="Times New Roman" w:hAnsi="Times New Roman"/>
          <w:b w:val="false"/>
          <w:i w:val="false"/>
          <w:color w:val="000000"/>
          <w:sz w:val="21"/>
        </w:rPr>
        <w:t>, IAB 12/14/22, effective 1/18/23]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83.15.3.pdf" Type="http://schemas.openxmlformats.org/officeDocument/2006/relationships/hyperlink" Id="rId5"/>
    <Relationship TargetMode="External" Target="https://www.legis.iowa.gov/docs/iac/rule/283.15.3.pdf" Type="http://schemas.openxmlformats.org/officeDocument/2006/relationships/hyperlink" Id="rId6"/>
    <Relationship TargetMode="External" Target="https://www.legis.iowa.gov/docs/iac/chapter/283.10.pdf" Type="http://schemas.openxmlformats.org/officeDocument/2006/relationships/hyperlink" Id="rId7"/>
    <Relationship TargetMode="External" Target="https://www.legis.iowa.gov/docs/ico/chapter/299A.pdf" Type="http://schemas.openxmlformats.org/officeDocument/2006/relationships/hyperlink" Id="rId8"/>
    <Relationship TargetMode="External" Target="https://www.legis.iowa.gov/docs/ico/chapter/259A.pdf" Type="http://schemas.openxmlformats.org/officeDocument/2006/relationships/hyperlink" Id="rId9"/>
    <Relationship TargetMode="External" Target="https://www.legis.iowa.gov/docs/ico/chapter/299A.pdf" Type="http://schemas.openxmlformats.org/officeDocument/2006/relationships/hyperlink" Id="rId10"/>
    <Relationship TargetMode="External" Target="https://www.legis.iowa.gov/docs/ico/chapter/259A.pdf" Type="http://schemas.openxmlformats.org/officeDocument/2006/relationships/hyperlink" Id="rId11"/>
    <Relationship TargetMode="External" Target="https://www.legis.iowa.gov/docs/ico/chapter/261.9.pdf" Type="http://schemas.openxmlformats.org/officeDocument/2006/relationships/hyperlink" Id="rId12"/>
    <Relationship TargetMode="External" Target="https://www.legis.iowa.gov/docs/ico/chapter/84A.1B.pdf" Type="http://schemas.openxmlformats.org/officeDocument/2006/relationships/hyperlink" Id="rId13"/>
    <Relationship TargetMode="External" Target="https://www.legis.iowa.gov/docs/ico/chapter/260C.2.pdf" Type="http://schemas.openxmlformats.org/officeDocument/2006/relationships/hyperlink" Id="rId14"/>
    <Relationship TargetMode="External" Target="https://www.legis.iowa.gov/docs/ico/chapter/261.9.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