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HEALTH CARE PROFESSIONAL RECRUITMENT PROGRAM</w:t>
      </w:r>
    </w:p>
    <w:p>
      <w:pPr>
        <w:spacing w:before="0" w:after="0"/>
        <w:ind w:left="120"/>
        <w:jc w:val="center"/>
      </w:pPr>
      <w:r>
        <w:rPr>
          <w:rFonts w:ascii="Times New Roman" w:hAnsi="Times New Roman"/>
          <w:b w:val="false"/>
          <w:i w:val="false"/>
          <w:color w:val="000000"/>
          <w:sz w:val="14"/>
        </w:rPr>
        <w:t>[Prior to 8/10/88, see College Aid Commission, 245—Ch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283—14.1</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institution of higher learning governed by the state board of regents, a community college established under Iowa Code chapter </w:t>
      </w:r>
      <w:hyperlink r:id="rId5">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or an accredited private institution as defined in Iowa Code section </w:t>
      </w:r>
      <w:hyperlink r:id="rId6">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 Eligible institutions seeking to participate must complete an application provided by the commission and agree to place health care professionals in eligible rural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rural community” </w:t>
      </w:r>
      <w:r>
        <w:rPr>
          <w:rFonts w:ascii="Times New Roman" w:hAnsi="Times New Roman"/>
          <w:b w:val="false"/>
          <w:i w:val="false"/>
          <w:color w:val="000000"/>
          <w:sz w:val="22"/>
        </w:rPr>
        <w:t>means a medically underserved rural Iowa city with a population of less than 26,000 that is located more than 20 miles from a city with a population of 50,000 or more. Locations and distances between cities will be consistently measured and verified by calculating the shortest travel distance on paved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means an individual who holds a practitioner’s license issued by an agency or board under the Iowa department of public health and is employed as an advanced registered nurse practitioner, athletic trainer, occupational therapist, physician, physician assistant, podiatrist, physical therapist,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“Matching funds” </w:t>
      </w:r>
      <w:r>
        <w:rPr>
          <w:rFonts w:ascii="Times New Roman" w:hAnsi="Times New Roman"/>
          <w:b w:val="false"/>
          <w:i w:val="false"/>
          <w:color w:val="000000"/>
          <w:sz w:val="22"/>
        </w:rPr>
        <w:t>means at least a dollar-for-dollar loan repayment match to the state health care professional recruitment program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0108C</w:t>
      </w:r>
      <w:r>
        <w:rPr>
          <w:rFonts w:ascii="Times New Roman" w:hAnsi="Times New Roman"/>
          <w:b w:val="false"/>
          <w:i w:val="false"/>
          <w:color w:val="000000"/>
          <w:sz w:val="16"/>
        </w:rPr>
        <w:t>, IAB 5/2/12, effective 6/6/12</w:t>
      </w:r>
      <w:r>
        <w:rPr>
          <w:rFonts w:ascii="Times New Roman" w:hAnsi="Times New Roman"/>
          <w:b w:val="false"/>
          <w:i w:val="false"/>
          <w:color w:val="000000"/>
          <w:sz w:val="16"/>
        </w:rPr>
        <w:t xml:space="preserve">; </w:t>
      </w:r>
      <w:r>
        <w:rPr>
          <w:rFonts w:ascii="Times New Roman" w:hAnsi="Times New Roman"/>
          <w:b/>
          <w:i w:val="false"/>
          <w:color w:val="000000"/>
          <w:sz w:val="16"/>
        </w:rPr>
        <w:t>ARC 5967C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6729C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283—14.2</w:t>
      </w:r>
      <w:r>
        <w:rPr>
          <w:rFonts w:ascii="Times New Roman" w:hAnsi="Times New Roman"/>
          <w:b/>
          <w:i w:val="false"/>
          <w:color w:val="000000"/>
          <w:sz w:val="22"/>
        </w:rPr>
        <w:t xml:space="preserve">(261) </w:t>
      </w:r>
      <w:r>
        <w:rPr>
          <w:rFonts w:ascii="Times New Roman" w:hAnsi="Times New Roman"/>
          <w:b/>
          <w:i w:val="false"/>
          <w:color w:val="000000"/>
          <w:sz w:val="22"/>
        </w:rPr>
        <w:t xml:space="preserve">Health care professional loan repayment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Recruitment. </w:t>
      </w:r>
      <w:r>
        <w:rPr>
          <w:rFonts w:ascii="Times New Roman" w:hAnsi="Times New Roman"/>
          <w:b w:val="false"/>
          <w:i w:val="false"/>
          <w:color w:val="000000"/>
          <w:sz w:val="22"/>
        </w:rPr>
        <w:t>The eligible institution shall communicate the availability of the health care professional loan repayment program to current students training to become health care professionals and alumni who are health care professionals. The commission will ensure, to the extent possible, that an equal number of new agreements are available to health care professionals in each occupation category. Selection of new applicants within each occupation category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in their final year of a degree program leading to a license to practice as a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most recent graduates of a degree program leading to a license to practice as a health care professional, with the most recent academic year graduates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service requirement. </w:t>
      </w:r>
      <w:r>
        <w:rPr>
          <w:rFonts w:ascii="Times New Roman" w:hAnsi="Times New Roman"/>
          <w:b w:val="false"/>
          <w:i w:val="false"/>
          <w:color w:val="000000"/>
          <w:sz w:val="22"/>
        </w:rPr>
        <w:t>The health care professional service requirement for the health care professional loan repayment program is four years. The health care professional must annually verify, in a format acceptable to the commission, that the health care professional practiced in an eligible rural community for 12 consecutive months for each year of required service. An award will be prorated based on the months of service provided in a state fiscal year if less than 12 months. An award will also be prorated if the individual is employed on a less than full-time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health care professional may receive up to $50,000 in state-funded repayment benefits when an eligible rural community agrees to provide matching funds of an equal or greater amount. At least a dollar-for-dollar match must be provided. Matching funds from an eligible rural community totaling less than $50,000 will result in an equally lower state health care professional recruitment program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Eligible loans. </w:t>
      </w:r>
      <w:r>
        <w:rPr>
          <w:rFonts w:ascii="Times New Roman" w:hAnsi="Times New Roman"/>
          <w:b w:val="false"/>
          <w:i w:val="false"/>
          <w:color w:val="000000"/>
          <w:sz w:val="22"/>
        </w:rPr>
        <w:t>Eligible loans include subsidized and unsubsidized Stafford loans, Grad PLUS loans and consolidated loans. Only the outstanding portion of a Federal Consolidation Loan that was used to repay an eligible subsidized or unsubsidized Federal Stafford Loan, an eligible Direct Subsidized Loan, an eligible Direct Unsubsidized Loan, or an eligible Grad PLUS Loan qualifies for loan repayment. A health care professional who receives loan repayment under this program and who refinances an eligible loan by obtaining a private educational loan may continue to receive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Disbursement. </w:t>
      </w:r>
      <w:r>
        <w:rPr>
          <w:rFonts w:ascii="Times New Roman" w:hAnsi="Times New Roman"/>
          <w:b w:val="false"/>
          <w:i w:val="false"/>
          <w:color w:val="000000"/>
          <w:sz w:val="22"/>
        </w:rPr>
        <w:t>The commission shall disburse the loan payment to the health care professional’s loan holder in return for completion of the service requirements in an eligible rural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14.2(6)</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 recipient of a loan repayment award under Iowa Code section </w:t>
      </w:r>
      <w:hyperlink r:id="rId7">
        <w:r>
          <w:rPr>
            <w:rStyle w:val="Hyperlink"/>
            <w:rFonts w:ascii="Times New Roman" w:hAnsi="Times New Roman"/>
            <w:b w:val="false"/>
            <w:i w:val="false"/>
            <w:color w:val="000000"/>
            <w:sz w:val="22"/>
          </w:rPr>
          <w:t>261.113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261.114</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261.116</w:t>
        </w:r>
      </w:hyperlink>
      <w:r>
        <w:rPr>
          <w:rFonts w:ascii="Times New Roman" w:hAnsi="Times New Roman"/>
          <w:b w:val="false"/>
          <w:i w:val="false"/>
          <w:color w:val="000000"/>
          <w:sz w:val="22"/>
        </w:rPr>
        <w:t xml:space="preserve"> shall not be eligible for an award under this chapter. A health care professional who is in default on a Stafford loan, SLS loan, Grad PLUS loan, or a Perkins/National Direct/National Defense student loan or who owes a repayment on any Title IV grant assistance or state award shall be ineligible for repayment benefits. Eligibility for state aid may be reinstated upon payment in full of the delinquent obligation or by commission ruling on the basis of adequate extenuating evidence presented in appeal under the procedures set forth in </w:t>
      </w:r>
      <w:hyperlink r:id="rId10">
        <w:r>
          <w:rPr>
            <w:rStyle w:val="Hyperlink"/>
            <w:rFonts w:ascii="Times New Roman" w:hAnsi="Times New Roman"/>
            <w:b w:val="false"/>
            <w:i w:val="false"/>
            <w:color w:val="000000"/>
            <w:sz w:val="22"/>
          </w:rPr>
          <w:t>283—Chapter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loan repayment funds are applied prior to the health care professional’s completion of the service requirement and the health care professional fails to complete the service requirement, repayment shall begin 30 days following termination of practice in an eligible rural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shall prorate the award balance based on the months of service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shall repay the prorated balance of the loan repayment benefits and accrued interest at 12 percent per annum. Interest shall accrue on the unpaid principal balance of each loan from the effective date of the loan repayment agreement until the loan is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prorated balance owed by the health care professional must be paid in full within three years from the date the service ends.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0108C</w:t>
      </w:r>
      <w:r>
        <w:rPr>
          <w:rFonts w:ascii="Times New Roman" w:hAnsi="Times New Roman"/>
          <w:b w:val="false"/>
          <w:i w:val="false"/>
          <w:color w:val="000000"/>
          <w:sz w:val="16"/>
        </w:rPr>
        <w:t>, IAB 5/2/12, effective 6/6/12</w:t>
      </w:r>
      <w:r>
        <w:rPr>
          <w:rFonts w:ascii="Times New Roman" w:hAnsi="Times New Roman"/>
          <w:b w:val="false"/>
          <w:i w:val="false"/>
          <w:color w:val="000000"/>
          <w:sz w:val="16"/>
        </w:rPr>
        <w:t xml:space="preserve">; </w:t>
      </w:r>
      <w:r>
        <w:rPr>
          <w:rFonts w:ascii="Times New Roman" w:hAnsi="Times New Roman"/>
          <w:b/>
          <w:i w:val="false"/>
          <w:color w:val="000000"/>
          <w:sz w:val="16"/>
        </w:rPr>
        <w:t>ARC 5222C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5967C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6729C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283—14.3</w:t>
      </w:r>
      <w:r>
        <w:rPr>
          <w:rFonts w:ascii="Times New Roman" w:hAnsi="Times New Roman"/>
          <w:b/>
          <w:i w:val="false"/>
          <w:color w:val="000000"/>
          <w:sz w:val="22"/>
        </w:rPr>
        <w:t xml:space="preserve">(261) </w:t>
      </w:r>
      <w:r>
        <w:rPr>
          <w:rFonts w:ascii="Times New Roman" w:hAnsi="Times New Roman"/>
          <w:b/>
          <w:i w:val="false"/>
          <w:color w:val="000000"/>
          <w:sz w:val="22"/>
        </w:rPr>
        <w:t xml:space="preserve">Osteopathic forgivable loan.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Physician service requirement. </w:t>
      </w:r>
      <w:r>
        <w:rPr>
          <w:rFonts w:ascii="Times New Roman" w:hAnsi="Times New Roman"/>
          <w:b w:val="false"/>
          <w:i w:val="false"/>
          <w:color w:val="000000"/>
          <w:sz w:val="22"/>
        </w:rPr>
        <w:t>The physician service requirement for the osteopathic forgivable loan program is one year for borrowers who received up to two annual loans and two years for borrowers who received three or more annual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Promissory note. </w:t>
      </w:r>
      <w:r>
        <w:rPr>
          <w:rFonts w:ascii="Times New Roman" w:hAnsi="Times New Roman"/>
          <w:b w:val="false"/>
          <w:i w:val="false"/>
          <w:color w:val="000000"/>
          <w:sz w:val="22"/>
        </w:rPr>
        <w:t>Loans disbursed are subject to the terms and conditions specified in the promissory note. The college student aid commission shall honor master promissory notes signed while a borrower is attending the university and shall enforce the loans according to the terms and conditions provided in the master promissory note.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0108C</w:t>
      </w:r>
      <w:r>
        <w:rPr>
          <w:rFonts w:ascii="Times New Roman" w:hAnsi="Times New Roman"/>
          <w:b w:val="false"/>
          <w:i w:val="false"/>
          <w:color w:val="000000"/>
          <w:sz w:val="16"/>
        </w:rPr>
        <w:t>, IAB 5/2/12, effective 6/6/12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2011 Iowa Code Supplement section </w:t>
      </w:r>
      <w:hyperlink r:id="rId11">
        <w:r>
          <w:rPr>
            <w:rStyle w:val="Hyperlink"/>
            <w:rFonts w:ascii="Times New Roman" w:hAnsi="Times New Roman"/>
            <w:b w:val="false"/>
            <w:i w:val="false"/>
            <w:color w:val="000000"/>
            <w:sz w:val="22"/>
          </w:rPr>
          <w:t>261.19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1/7/77, Notice 10/20/76—published 1/26/77, effective 3/2/77]</w:t>
      </w:r>
    </w:p>
    <w:p>
      <w:pPr>
        <w:spacing w:before="0" w:after="0"/>
        <w:ind w:left="120"/>
        <w:jc w:val="center"/>
      </w:pPr>
      <w:r>
        <w:rPr>
          <w:rFonts w:ascii="Times New Roman" w:hAnsi="Times New Roman"/>
          <w:b w:val="false"/>
          <w:i w:val="false"/>
          <w:color w:val="000000"/>
          <w:sz w:val="21"/>
        </w:rPr>
        <w:t>[Filed 2/16/79, Notice 11/1/78—published 3/7/79, effective 4/11/79]</w:t>
      </w:r>
    </w:p>
    <w:p>
      <w:pPr>
        <w:spacing w:before="0" w:after="0"/>
        <w:ind w:left="120"/>
        <w:jc w:val="center"/>
      </w:pPr>
      <w:r>
        <w:rPr>
          <w:rFonts w:ascii="Times New Roman" w:hAnsi="Times New Roman"/>
          <w:b w:val="false"/>
          <w:i w:val="false"/>
          <w:color w:val="000000"/>
          <w:sz w:val="21"/>
        </w:rPr>
        <w:t>[Filed emergency 8/16/85—published 9/11/85, effective 8/23/85]</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11/14/90, Notice 10/3/90—published 12/12/90, effective 1/16/91]</w:t>
      </w:r>
    </w:p>
    <w:p>
      <w:pPr>
        <w:spacing w:before="0" w:after="0"/>
        <w:ind w:left="120"/>
        <w:jc w:val="center"/>
      </w:pPr>
      <w:r>
        <w:rPr>
          <w:rFonts w:ascii="Times New Roman" w:hAnsi="Times New Roman"/>
          <w:b w:val="false"/>
          <w:i w:val="false"/>
          <w:color w:val="000000"/>
          <w:sz w:val="21"/>
        </w:rPr>
        <w:t>[Filed 9/13/91, Notice 7/24/91—published 10/2/91, effective 11/6/91]</w:t>
      </w:r>
    </w:p>
    <w:p>
      <w:pPr>
        <w:spacing w:before="0" w:after="0"/>
        <w:ind w:left="120"/>
        <w:jc w:val="center"/>
      </w:pPr>
      <w:r>
        <w:rPr>
          <w:rFonts w:ascii="Times New Roman" w:hAnsi="Times New Roman"/>
          <w:b w:val="false"/>
          <w:i w:val="false"/>
          <w:color w:val="000000"/>
          <w:sz w:val="21"/>
        </w:rPr>
        <w:t>[Filed 1/20/95, Notice 12/7/94—published 2/15/95, effective 3/22/95]</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7/17/03, Notice 4/30/03—published 8/6/03, effective 9/10/03]</w:t>
      </w:r>
    </w:p>
    <w:p>
      <w:pPr>
        <w:spacing w:before="0" w:after="0"/>
        <w:ind w:left="120"/>
        <w:jc w:val="center"/>
      </w:pPr>
      <w:r>
        <w:rPr>
          <w:rFonts w:ascii="Times New Roman" w:hAnsi="Times New Roman"/>
          <w:b w:val="false"/>
          <w:i w:val="false"/>
          <w:color w:val="000000"/>
          <w:sz w:val="21"/>
        </w:rPr>
        <w:t>[Filed 1/24/04, Notice 12/10/03—published 2/18/04, effective 3/24/04]</w:t>
      </w:r>
    </w:p>
    <w:p>
      <w:pPr>
        <w:spacing w:before="0" w:after="0"/>
        <w:ind w:left="120"/>
        <w:jc w:val="center"/>
      </w:pPr>
      <w:r>
        <w:rPr>
          <w:rFonts w:ascii="Times New Roman" w:hAnsi="Times New Roman"/>
          <w:b w:val="false"/>
          <w:i w:val="false"/>
          <w:color w:val="000000"/>
          <w:sz w:val="21"/>
        </w:rPr>
        <w:t>[Filed 1/20/06, Notice 12/7/05—published 2/15/06, effective 3/22/06]</w:t>
      </w:r>
    </w:p>
    <w:p>
      <w:pPr>
        <w:spacing w:before="0" w:after="0"/>
        <w:ind w:left="120"/>
        <w:jc w:val="center"/>
      </w:pPr>
      <w:r>
        <w:rPr>
          <w:rFonts w:ascii="Times New Roman" w:hAnsi="Times New Roman"/>
          <w:b w:val="false"/>
          <w:i w:val="false"/>
          <w:color w:val="000000"/>
          <w:sz w:val="21"/>
        </w:rPr>
        <w:t>[Filed ARC 0108C</w:t>
      </w:r>
      <w:r>
        <w:rPr>
          <w:rFonts w:ascii="Times New Roman" w:hAnsi="Times New Roman"/>
          <w:b w:val="false"/>
          <w:i w:val="false"/>
          <w:color w:val="000000"/>
          <w:sz w:val="21"/>
        </w:rPr>
        <w:t xml:space="preserve"> (Notice ARC 9920B, IAB 12/14/11)</w:t>
      </w:r>
      <w:r>
        <w:rPr>
          <w:rFonts w:ascii="Times New Roman" w:hAnsi="Times New Roman"/>
          <w:b w:val="false"/>
          <w:i w:val="false"/>
          <w:color w:val="000000"/>
          <w:sz w:val="21"/>
        </w:rPr>
        <w:t>, IAB 5/2/12, effective 6/6/12]</w:t>
      </w:r>
    </w:p>
    <w:p>
      <w:pPr>
        <w:spacing w:before="0" w:after="0"/>
        <w:ind w:left="120"/>
        <w:jc w:val="center"/>
      </w:pPr>
      <w:r>
        <w:rPr>
          <w:rFonts w:ascii="Times New Roman" w:hAnsi="Times New Roman"/>
          <w:b w:val="false"/>
          <w:i w:val="false"/>
          <w:color w:val="000000"/>
          <w:sz w:val="21"/>
        </w:rPr>
        <w:t>[Filed ARC 5222C</w:t>
      </w:r>
      <w:r>
        <w:rPr>
          <w:rFonts w:ascii="Times New Roman" w:hAnsi="Times New Roman"/>
          <w:b w:val="false"/>
          <w:i w:val="false"/>
          <w:color w:val="000000"/>
          <w:sz w:val="21"/>
        </w:rPr>
        <w:t xml:space="preserve"> (Notice ARC 5124C, IAB 8/12/20)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5967C</w:t>
      </w:r>
      <w:r>
        <w:rPr>
          <w:rFonts w:ascii="Times New Roman" w:hAnsi="Times New Roman"/>
          <w:b w:val="false"/>
          <w:i w:val="false"/>
          <w:color w:val="000000"/>
          <w:sz w:val="21"/>
        </w:rPr>
        <w:t xml:space="preserve"> (Notice ARC 5855C,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6729C</w:t>
      </w:r>
      <w:r>
        <w:rPr>
          <w:rFonts w:ascii="Times New Roman" w:hAnsi="Times New Roman"/>
          <w:b w:val="false"/>
          <w:i w:val="false"/>
          <w:color w:val="000000"/>
          <w:sz w:val="21"/>
        </w:rPr>
        <w:t xml:space="preserve"> (Notice ARC 6478C, IAB 8/24/22)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C.pdf" Type="http://schemas.openxmlformats.org/officeDocument/2006/relationships/hyperlink" Id="rId5"/>
    <Relationship TargetMode="External" Target="https://www.legis.iowa.gov/docs/ico/chapter/261.9.pdf" Type="http://schemas.openxmlformats.org/officeDocument/2006/relationships/hyperlink" Id="rId6"/>
    <Relationship TargetMode="External" Target="https://www.legis.iowa.gov/docs/ico/chapter/261.113.pdf" Type="http://schemas.openxmlformats.org/officeDocument/2006/relationships/hyperlink" Id="rId7"/>
    <Relationship TargetMode="External" Target="https://www.legis.iowa.gov/docs/ico/chapter/261.114.pdf" Type="http://schemas.openxmlformats.org/officeDocument/2006/relationships/hyperlink" Id="rId8"/>
    <Relationship TargetMode="External" Target="https://www.legis.iowa.gov/docs/ico/chapter/261.116.pdf" Type="http://schemas.openxmlformats.org/officeDocument/2006/relationships/hyperlink" Id="rId9"/>
    <Relationship TargetMode="External" Target="https://www.legis.iowa.gov/docs/iac/chapter/283.5.pdf" Type="http://schemas.openxmlformats.org/officeDocument/2006/relationships/hyperlink" Id="rId10"/>
    <Relationship TargetMode="External" Target="https://www.legis.iowa.gov/docs/ico/chapter/261.1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