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IOWA TUITION GRANT PROGRAM</w:t>
      </w:r>
    </w:p>
    <w:p>
      <w:pPr>
        <w:spacing w:before="0" w:after="0"/>
        <w:ind w:left="120"/>
        <w:jc w:val="center"/>
      </w:pPr>
      <w:r>
        <w:rPr>
          <w:rFonts w:ascii="Times New Roman" w:hAnsi="Times New Roman"/>
          <w:b w:val="false"/>
          <w:i w:val="false"/>
          <w:color w:val="000000"/>
          <w:sz w:val="14"/>
        </w:rPr>
        <w:t>[Prior to 8/10/88, see College Aid Commission, 245—Ch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1/1/30</w:t>
      </w:r>
    </w:p>
    <w:p>
      <w:pPr>
        <w:spacing w:before="0" w:after="0"/>
        <w:ind w:left="120"/>
        <w:jc w:val="both"/>
      </w:pPr>
      <w:r>
        <w:rPr>
          <w:rFonts w:ascii="Times New Roman" w:hAnsi="Times New Roman"/>
          <w:b/>
          <w:i w:val="false"/>
          <w:color w:val="000000"/>
          <w:sz w:val="22"/>
        </w:rPr>
        <w:t>283—12.1</w:t>
      </w:r>
      <w:r>
        <w:rPr>
          <w:rFonts w:ascii="Times New Roman" w:hAnsi="Times New Roman"/>
          <w:b/>
          <w:i w:val="false"/>
          <w:color w:val="000000"/>
          <w:sz w:val="22"/>
        </w:rPr>
        <w:t xml:space="preserve">(256) </w:t>
      </w:r>
      <w:r>
        <w:rPr>
          <w:rFonts w:ascii="Times New Roman" w:hAnsi="Times New Roman"/>
          <w:b/>
          <w:i w:val="false"/>
          <w:color w:val="000000"/>
          <w:sz w:val="22"/>
        </w:rPr>
        <w:t xml:space="preserve">Basis of aid. </w:t>
      </w:r>
      <w:r>
        <w:rPr>
          <w:rFonts w:ascii="Times New Roman" w:hAnsi="Times New Roman"/>
          <w:b w:val="false"/>
          <w:i w:val="false"/>
          <w:color w:val="000000"/>
          <w:sz w:val="22"/>
        </w:rPr>
        <w:t>Assistance available under the Iowa tuition grant program is tuition-restricted and is also based on the financial metric and financial need of Iowa residents enrolled at an accredited private institution.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8407C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283—12.2</w:t>
      </w:r>
      <w:r>
        <w:rPr>
          <w:rFonts w:ascii="Times New Roman" w:hAnsi="Times New Roman"/>
          <w:b/>
          <w:i w:val="false"/>
          <w:color w:val="000000"/>
          <w:sz w:val="22"/>
        </w:rPr>
        <w:t xml:space="preserve">(256)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private institution” </w:t>
      </w:r>
      <w:r>
        <w:rPr>
          <w:rFonts w:ascii="Times New Roman" w:hAnsi="Times New Roman"/>
          <w:b w:val="false"/>
          <w:i w:val="false"/>
          <w:color w:val="000000"/>
          <w:sz w:val="22"/>
        </w:rPr>
        <w:t xml:space="preserve">means a not-for-profit private institution that meets the criteria in Iowa Code section </w:t>
      </w:r>
      <w:hyperlink r:id="rId5">
        <w:r>
          <w:rPr>
            <w:rStyle w:val="Hyperlink"/>
            <w:rFonts w:ascii="Times New Roman" w:hAnsi="Times New Roman"/>
            <w:b w:val="false"/>
            <w:i w:val="false"/>
            <w:color w:val="000000"/>
            <w:sz w:val="22"/>
          </w:rPr>
          <w:t>256.183</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283—12.5</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metric” </w:t>
      </w:r>
      <w:r>
        <w:rPr>
          <w:rFonts w:ascii="Times New Roman" w:hAnsi="Times New Roman"/>
          <w:b w:val="false"/>
          <w:i w:val="false"/>
          <w:color w:val="000000"/>
          <w:sz w:val="22"/>
        </w:rPr>
        <w:t xml:space="preserve">means the same as defined in rule </w:t>
      </w:r>
      <w:hyperlink r:id="rId7">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need” </w:t>
      </w:r>
      <w:r>
        <w:rPr>
          <w:rFonts w:ascii="Times New Roman" w:hAnsi="Times New Roman"/>
          <w:b w:val="false"/>
          <w:i w:val="false"/>
          <w:color w:val="000000"/>
          <w:sz w:val="22"/>
        </w:rPr>
        <w:t xml:space="preserve">means the same as defined in rule </w:t>
      </w:r>
      <w:hyperlink r:id="rId8">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 xml:space="preserve">means the same as defined in rule </w:t>
      </w:r>
      <w:hyperlink r:id="rId9">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resident” </w:t>
      </w:r>
      <w:r>
        <w:rPr>
          <w:rFonts w:ascii="Times New Roman" w:hAnsi="Times New Roman"/>
          <w:b w:val="false"/>
          <w:i w:val="false"/>
          <w:color w:val="000000"/>
          <w:sz w:val="22"/>
        </w:rPr>
        <w:t xml:space="preserve">means the same as defined in rule </w:t>
      </w:r>
      <w:hyperlink r:id="rId10">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“Located in Iowa” </w:t>
      </w:r>
      <w:r>
        <w:rPr>
          <w:rFonts w:ascii="Times New Roman" w:hAnsi="Times New Roman"/>
          <w:b w:val="false"/>
          <w:i w:val="false"/>
          <w:color w:val="000000"/>
          <w:sz w:val="22"/>
        </w:rPr>
        <w:t>means a college or university is accredited by the Higher Learning Commission of the North Central Association of Colleges and Schools, has made a substantial investment in a permanent Iowa campus and staff, and offers a full range of courses leading to the degrees offered by the institution as well as a full range of student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“Part-time” </w:t>
      </w:r>
      <w:r>
        <w:rPr>
          <w:rFonts w:ascii="Times New Roman" w:hAnsi="Times New Roman"/>
          <w:b w:val="false"/>
          <w:i w:val="false"/>
          <w:color w:val="000000"/>
          <w:sz w:val="22"/>
        </w:rPr>
        <w:t xml:space="preserve">means the same as defined in rule </w:t>
      </w:r>
      <w:hyperlink r:id="rId11">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of study” </w:t>
      </w:r>
      <w:r>
        <w:rPr>
          <w:rFonts w:ascii="Times New Roman" w:hAnsi="Times New Roman"/>
          <w:b w:val="false"/>
          <w:i w:val="false"/>
          <w:color w:val="000000"/>
          <w:sz w:val="22"/>
        </w:rPr>
        <w:t xml:space="preserve">means the same as defined in rule </w:t>
      </w:r>
      <w:hyperlink r:id="rId12">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“Satisfactory academic progress” </w:t>
      </w:r>
      <w:r>
        <w:rPr>
          <w:rFonts w:ascii="Times New Roman" w:hAnsi="Times New Roman"/>
          <w:b w:val="false"/>
          <w:i w:val="false"/>
          <w:color w:val="000000"/>
          <w:sz w:val="22"/>
        </w:rPr>
        <w:t xml:space="preserve">means the same as defined in rule </w:t>
      </w:r>
      <w:hyperlink r:id="rId13">
        <w:r>
          <w:rPr>
            <w:rStyle w:val="Hyperlink"/>
            <w:rFonts w:ascii="Times New Roman" w:hAnsi="Times New Roman"/>
            <w:b w:val="false"/>
            <w:i w:val="false"/>
            <w:color w:val="000000"/>
            <w:sz w:val="22"/>
          </w:rPr>
          <w:t>283—10.2</w:t>
        </w:r>
      </w:hyperlink>
      <w:r>
        <w:rPr>
          <w:rFonts w:ascii="Times New Roman" w:hAnsi="Times New Roman"/>
          <w:b w:val="false"/>
          <w:i w:val="false"/>
          <w:color w:val="000000"/>
          <w:sz w:val="22"/>
        </w:rPr>
        <w:t>(256).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8407C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283—12.3</w:t>
      </w:r>
      <w:r>
        <w:rPr>
          <w:rFonts w:ascii="Times New Roman" w:hAnsi="Times New Roman"/>
          <w:b/>
          <w:i w:val="false"/>
          <w:color w:val="000000"/>
          <w:sz w:val="22"/>
        </w:rPr>
        <w:t xml:space="preserve">(256) </w:t>
      </w:r>
      <w:r>
        <w:rPr>
          <w:rFonts w:ascii="Times New Roman" w:hAnsi="Times New Roman"/>
          <w:b/>
          <w:i w:val="false"/>
          <w:color w:val="000000"/>
          <w:sz w:val="22"/>
        </w:rPr>
        <w:t xml:space="preserve">Eligible applicant. </w:t>
      </w:r>
      <w:r>
        <w:rPr>
          <w:rFonts w:ascii="Times New Roman" w:hAnsi="Times New Roman"/>
          <w:b w:val="false"/>
          <w:i w:val="false"/>
          <w:color w:val="000000"/>
          <w:sz w:val="22"/>
        </w:rPr>
        <w:t>An eligible applicant is an Iowa resident enrolled at least part-time in a program of study at an accredited private institution and who meets the award eligibility criteria and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val="false"/>
          <w:color w:val="000000"/>
          <w:sz w:val="22"/>
        </w:rPr>
        <w:t>Completes the applications the commission deems necessary on or before the date established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Establishes financial need, has an eligible financial metric, meets satisfactory academic progress standards, and does not meet a condition in </w:t>
      </w:r>
      <w:hyperlink r:id="rId14">
        <w:r>
          <w:rPr>
            <w:rStyle w:val="Hyperlink"/>
            <w:rFonts w:ascii="Times New Roman" w:hAnsi="Times New Roman"/>
            <w:b w:val="false"/>
            <w:i w:val="false"/>
            <w:color w:val="000000"/>
            <w:sz w:val="22"/>
          </w:rPr>
          <w:t>283—subrule 10.3(1)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8407C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283—12.4</w:t>
      </w:r>
      <w:r>
        <w:rPr>
          <w:rFonts w:ascii="Times New Roman" w:hAnsi="Times New Roman"/>
          <w:b/>
          <w:i w:val="false"/>
          <w:color w:val="000000"/>
          <w:sz w:val="22"/>
        </w:rPr>
        <w:t xml:space="preserve">(256)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color w:val="000000"/>
          <w:sz w:val="22"/>
        </w:rPr>
        <w:t xml:space="preserve">Selection criteria. </w:t>
      </w:r>
      <w:r>
        <w:rPr>
          <w:rFonts w:ascii="Times New Roman" w:hAnsi="Times New Roman"/>
          <w:b w:val="false"/>
          <w:i w:val="false"/>
          <w:color w:val="000000"/>
          <w:sz w:val="22"/>
        </w:rPr>
        <w:t>All eligible applicants will be considered for an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color w:val="000000"/>
          <w:sz w:val="22"/>
        </w:rPr>
        <w:t xml:space="preserve">Maximum award and extent of award. </w:t>
      </w:r>
      <w:r>
        <w:rPr>
          <w:rFonts w:ascii="Times New Roman" w:hAnsi="Times New Roman"/>
          <w:b w:val="false"/>
          <w:i w:val="false"/>
          <w:color w:val="000000"/>
          <w:sz w:val="22"/>
        </w:rPr>
        <w:t>Eligible applicants may receive no more than the equivalent of eight full-time awards.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maximum award for full-time students will not exceed the student’s financial need and will be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difference between the tuition and mandatory fees charged by the accredited private institution less the average undergraduate tuition and fees charged by the state universities under the Iowa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average undergraduate tuition and fees charged by the state universities under the Iowa board of regents;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amount established by the commission that allows all eligible applicants to receive an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awarded in combination with other tuition-restricted funds, the total amount of tuition-restricted funding, including an Iowa tuition grant, cannot exceed the total tuition and mandatory fees charged to the recipient.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part-time student will receive a prorated award, as defined by the commission, that is calculated by dividing the number of hours for which the student is enrolled by the required number of hours for full-time enrollment and multiplying the quotient by the maximum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Awards will be provided during the fall and spring semesters of enrollment, or the equivalent. Awards may be provided during the summer semester to the extent that funding allows. Eligible applicants who are enrolled in commission-approved accelerated programs that incorporate summer attendance may receive summer Iowa tuition grants if the eligible applicant meets the accelerated progression thresholds established by the commission without exhausting grant eligibility prior to degree completion. Accelerated programs must allow students to complete four-year baccalaureate programs in less than the normal prescribed time frame while taking the same courses as students completing the same degree during a traditional four-year period.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color w:val="000000"/>
          <w:sz w:val="22"/>
        </w:rPr>
        <w:t xml:space="preserve">Awarding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commission will provide notice of the eligibility criteria and maximum award to participating accredited private institutions annually to authorize awarding.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will designate eligible applicants for awards and provide accredited private institutions with rosters of designated eligible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Accredited private institutions will notify recipients of the awards, clearly indicating the award amount and the state program from which funding is being provided and stating that the award is contingent on the availability of state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Accredited private institutions will apply awards directly to student accounts to cover tuition and mandatory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Accredited private institutions will provide information about eligible applicants to the commission in a format specified by the commission. Accredited private institutions will make necessary changes to awards due to a change in enrollment or financial situation and promptly report those changes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Accredited private institutions are responsible for completing necessary verification and for coordinating other aid to ensure compliance with student eligibility requirements and allowable award amounts. Accredited private institutions will report changes in student eligibility to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8407C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283—12.5</w:t>
      </w:r>
      <w:r>
        <w:rPr>
          <w:rFonts w:ascii="Times New Roman" w:hAnsi="Times New Roman"/>
          <w:b/>
          <w:i w:val="false"/>
          <w:color w:val="000000"/>
          <w:sz w:val="22"/>
        </w:rPr>
        <w:t xml:space="preserve">(256) </w:t>
      </w:r>
      <w:r>
        <w:rPr>
          <w:rFonts w:ascii="Times New Roman" w:hAnsi="Times New Roman"/>
          <w:b/>
          <w:i w:val="false"/>
          <w:color w:val="000000"/>
          <w:sz w:val="22"/>
        </w:rPr>
        <w:t xml:space="preserve">Accredited private institution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An accredited private institution that is located in Iowa may request participation in the Iowa tuition grant program using the commission’s designated application. The institution will meet the eligibility criteria in Iowa Code section </w:t>
      </w:r>
      <w:hyperlink r:id="rId15">
        <w:r>
          <w:rPr>
            <w:rStyle w:val="Hyperlink"/>
            <w:rFonts w:ascii="Times New Roman" w:hAnsi="Times New Roman"/>
            <w:b w:val="false"/>
            <w:i w:val="false"/>
            <w:color w:val="000000"/>
            <w:sz w:val="22"/>
          </w:rPr>
          <w:t>256.183</w:t>
        </w:r>
      </w:hyperlink>
      <w:r>
        <w:rPr>
          <w:rFonts w:ascii="Times New Roman" w:hAnsi="Times New Roman"/>
          <w:b w:val="false"/>
          <w:i w:val="false"/>
          <w:color w:val="000000"/>
          <w:sz w:val="22"/>
        </w:rPr>
        <w:t xml:space="preserve"> at the time the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color w:val="000000"/>
          <w:sz w:val="22"/>
        </w:rPr>
        <w:t xml:space="preserve">Deadline to apply. </w:t>
      </w:r>
      <w:r>
        <w:rPr>
          <w:rFonts w:ascii="Times New Roman" w:hAnsi="Times New Roman"/>
          <w:b w:val="false"/>
          <w:i w:val="false"/>
          <w:color w:val="000000"/>
          <w:sz w:val="22"/>
        </w:rPr>
        <w:t>An accredited private institution seeking to participate in the Iowa tuition grant program will submit an application on or before October 1 of the year prior to the beginning of the academic year for which the accredited institution is applying for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color w:val="000000"/>
          <w:sz w:val="22"/>
        </w:rPr>
        <w:t xml:space="preserve">Ongoing eligibility. </w:t>
      </w:r>
      <w:r>
        <w:rPr>
          <w:rFonts w:ascii="Times New Roman" w:hAnsi="Times New Roman"/>
          <w:b w:val="false"/>
          <w:i w:val="false"/>
          <w:color w:val="000000"/>
          <w:sz w:val="22"/>
        </w:rPr>
        <w:t xml:space="preserve">An accredited private institution that is participating in the Iowa tuition grant program will immediately notify the commission if its higher learning commission accreditation or 501(c)(3) status is lost, or if the accredited private institution will fail to meet the necessary institutional match. Failure to meet any provision in Iowa Code sections </w:t>
      </w:r>
      <w:hyperlink r:id="rId16">
        <w:r>
          <w:rPr>
            <w:rStyle w:val="Hyperlink"/>
            <w:rFonts w:ascii="Times New Roman" w:hAnsi="Times New Roman"/>
            <w:b w:val="false"/>
            <w:i w:val="false"/>
            <w:color w:val="000000"/>
            <w:sz w:val="22"/>
          </w:rPr>
          <w:t>256.183 through 256.190</w:t>
        </w:r>
      </w:hyperlink>
      <w:r>
        <w:rPr>
          <w:rFonts w:ascii="Times New Roman" w:hAnsi="Times New Roman"/>
          <w:b w:val="false"/>
          <w:i w:val="false"/>
          <w:color w:val="000000"/>
          <w:sz w:val="22"/>
        </w:rPr>
        <w:t xml:space="preserve"> or this rule may result in the immediate cessation of the institution’s participation in the Iowa tuition grant and in the institution returning Iowa tuition grant funds to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color w:val="000000"/>
          <w:sz w:val="22"/>
        </w:rPr>
        <w:t xml:space="preserve">Compliance audits. </w:t>
      </w:r>
      <w:r>
        <w:rPr>
          <w:rFonts w:ascii="Times New Roman" w:hAnsi="Times New Roman"/>
          <w:b w:val="false"/>
          <w:i w:val="false"/>
          <w:color w:val="000000"/>
          <w:sz w:val="22"/>
        </w:rPr>
        <w:t xml:space="preserve">The commission will periodically investigate and review compliance of accredited private institutions participating in this program with the criteria established in Iowa Code sections </w:t>
      </w:r>
      <w:hyperlink r:id="rId17">
        <w:r>
          <w:rPr>
            <w:rStyle w:val="Hyperlink"/>
            <w:rFonts w:ascii="Times New Roman" w:hAnsi="Times New Roman"/>
            <w:b w:val="false"/>
            <w:i w:val="false"/>
            <w:color w:val="000000"/>
            <w:sz w:val="22"/>
          </w:rPr>
          <w:t>256.183 through 256.190</w:t>
        </w:r>
      </w:hyperlink>
      <w:r>
        <w:rPr>
          <w:rFonts w:ascii="Times New Roman" w:hAnsi="Times New Roman"/>
          <w:b w:val="false"/>
          <w:i w:val="false"/>
          <w:color w:val="000000"/>
          <w:sz w:val="22"/>
        </w:rPr>
        <w:t xml:space="preserve"> and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8407C</w:t>
      </w:r>
      <w:r>
        <w:rPr>
          <w:rFonts w:ascii="Times New Roman" w:hAnsi="Times New Roman"/>
          <w:b w:val="false"/>
          <w:i w:val="false"/>
          <w:color w:val="000000"/>
          <w:sz w:val="16"/>
        </w:rPr>
        <w:t>, IAB 11/27/24, effective 1/1/25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8">
        <w:r>
          <w:rPr>
            <w:rStyle w:val="Hyperlink"/>
            <w:rFonts w:ascii="Times New Roman" w:hAnsi="Times New Roman"/>
            <w:b w:val="false"/>
            <w:i w:val="false"/>
            <w:color w:val="000000"/>
            <w:sz w:val="22"/>
          </w:rPr>
          <w:t>256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1/28/71; amended 6/29/72, 10/15/73, 6/28/74]</w:t>
      </w:r>
    </w:p>
    <w:p>
      <w:pPr>
        <w:spacing w:before="0" w:after="0"/>
        <w:ind w:left="120"/>
        <w:jc w:val="center"/>
      </w:pPr>
      <w:r>
        <w:rPr>
          <w:rFonts w:ascii="Times New Roman" w:hAnsi="Times New Roman"/>
          <w:b w:val="false"/>
          <w:i w:val="false"/>
          <w:color w:val="000000"/>
          <w:sz w:val="21"/>
        </w:rPr>
        <w:t>[Filed 1/7/77, Notice 10/20/76—published 1/26/77, effective 3/2/77]</w:t>
      </w:r>
    </w:p>
    <w:p>
      <w:pPr>
        <w:spacing w:before="0" w:after="0"/>
        <w:ind w:left="120"/>
        <w:jc w:val="center"/>
      </w:pPr>
      <w:r>
        <w:rPr>
          <w:rFonts w:ascii="Times New Roman" w:hAnsi="Times New Roman"/>
          <w:b w:val="false"/>
          <w:i w:val="false"/>
          <w:color w:val="000000"/>
          <w:sz w:val="21"/>
        </w:rPr>
        <w:t>[Filed 2/16/79, Notice 11/1/78—published 3/7/79, effective 4/11/79]</w:t>
      </w:r>
    </w:p>
    <w:p>
      <w:pPr>
        <w:spacing w:before="0" w:after="0"/>
        <w:ind w:left="120"/>
        <w:jc w:val="center"/>
      </w:pPr>
      <w:r>
        <w:rPr>
          <w:rFonts w:ascii="Times New Roman" w:hAnsi="Times New Roman"/>
          <w:b w:val="false"/>
          <w:i w:val="false"/>
          <w:color w:val="000000"/>
          <w:sz w:val="21"/>
        </w:rPr>
        <w:t>[Filed 3/9/82, Notice 1/6/82—published 3/31/82, effective 5/5/82]</w:t>
      </w:r>
    </w:p>
    <w:p>
      <w:pPr>
        <w:spacing w:before="0" w:after="0"/>
        <w:ind w:left="120"/>
        <w:jc w:val="center"/>
      </w:pPr>
      <w:r>
        <w:rPr>
          <w:rFonts w:ascii="Times New Roman" w:hAnsi="Times New Roman"/>
          <w:b w:val="false"/>
          <w:i w:val="false"/>
          <w:color w:val="000000"/>
          <w:sz w:val="21"/>
        </w:rPr>
        <w:t>[Filed 7/15/83, Notice 4/27/83—published 8/3/83, effective 9/7/83]</w:t>
      </w:r>
    </w:p>
    <w:p>
      <w:pPr>
        <w:spacing w:before="0" w:after="0"/>
        <w:ind w:left="120"/>
        <w:jc w:val="center"/>
      </w:pPr>
      <w:r>
        <w:rPr>
          <w:rFonts w:ascii="Times New Roman" w:hAnsi="Times New Roman"/>
          <w:b w:val="false"/>
          <w:i w:val="false"/>
          <w:color w:val="000000"/>
          <w:sz w:val="21"/>
        </w:rPr>
        <w:t>[Filed emergency 8/26/83—published 9/14/83, effective 8/26/83]</w:t>
      </w:r>
    </w:p>
    <w:p>
      <w:pPr>
        <w:spacing w:before="0" w:after="0"/>
        <w:ind w:left="120"/>
        <w:jc w:val="center"/>
      </w:pPr>
      <w:r>
        <w:rPr>
          <w:rFonts w:ascii="Times New Roman" w:hAnsi="Times New Roman"/>
          <w:b w:val="false"/>
          <w:i w:val="false"/>
          <w:color w:val="000000"/>
          <w:sz w:val="21"/>
        </w:rPr>
        <w:t>[Filed 12/16/83, Notice 9/14/83—published 1/4/84, effective 2/8/84]</w:t>
      </w:r>
    </w:p>
    <w:p>
      <w:pPr>
        <w:spacing w:before="0" w:after="0"/>
        <w:ind w:left="120"/>
        <w:jc w:val="center"/>
      </w:pPr>
      <w:r>
        <w:rPr>
          <w:rFonts w:ascii="Times New Roman" w:hAnsi="Times New Roman"/>
          <w:b w:val="false"/>
          <w:i w:val="false"/>
          <w:color w:val="000000"/>
          <w:sz w:val="21"/>
        </w:rPr>
        <w:t>[Filed 8/22/86, Notice 6/4/86—published 9/10/86, effective 10/15/86]</w:t>
      </w:r>
    </w:p>
    <w:p>
      <w:pPr>
        <w:spacing w:before="0" w:after="0"/>
        <w:ind w:left="120"/>
        <w:jc w:val="center"/>
      </w:pPr>
      <w:r>
        <w:rPr>
          <w:rFonts w:ascii="Times New Roman" w:hAnsi="Times New Roman"/>
          <w:b w:val="false"/>
          <w:i w:val="false"/>
          <w:color w:val="000000"/>
          <w:sz w:val="21"/>
        </w:rPr>
        <w:t>[Filed 1/15/87, Notice 12/3/86—published 2/11/87, effective 3/18/87]</w:t>
      </w:r>
    </w:p>
    <w:p>
      <w:pPr>
        <w:spacing w:before="0" w:after="0"/>
        <w:ind w:left="120"/>
        <w:jc w:val="center"/>
      </w:pPr>
      <w:r>
        <w:rPr>
          <w:rFonts w:ascii="Times New Roman" w:hAnsi="Times New Roman"/>
          <w:b w:val="false"/>
          <w:i w:val="false"/>
          <w:color w:val="000000"/>
          <w:sz w:val="21"/>
        </w:rPr>
        <w:t>[Filed 7/22/88, Notice 3/9/88—published 8/10/88, effective 9/14/88]</w:t>
      </w:r>
    </w:p>
    <w:p>
      <w:pPr>
        <w:spacing w:before="0" w:after="0"/>
        <w:ind w:left="120"/>
        <w:jc w:val="center"/>
      </w:pPr>
      <w:r>
        <w:rPr>
          <w:rFonts w:ascii="Times New Roman" w:hAnsi="Times New Roman"/>
          <w:b w:val="false"/>
          <w:i w:val="false"/>
          <w:color w:val="000000"/>
          <w:sz w:val="21"/>
        </w:rPr>
        <w:t>[Filed 1/13/89, Notice 11/2/88—published 2/8/89, effective 3/15/89]</w:t>
      </w:r>
    </w:p>
    <w:p>
      <w:pPr>
        <w:spacing w:before="0" w:after="0"/>
        <w:ind w:left="120"/>
        <w:jc w:val="center"/>
      </w:pPr>
      <w:r>
        <w:rPr>
          <w:rFonts w:ascii="Times New Roman" w:hAnsi="Times New Roman"/>
          <w:b w:val="false"/>
          <w:i w:val="false"/>
          <w:color w:val="000000"/>
          <w:sz w:val="21"/>
        </w:rPr>
        <w:t>[Filed 6/19/91, Notice 5/1/91—published 7/10/91, effective 8/14/91]</w:t>
      </w:r>
    </w:p>
    <w:p>
      <w:pPr>
        <w:spacing w:before="0" w:after="0"/>
        <w:ind w:left="120"/>
        <w:jc w:val="center"/>
      </w:pPr>
      <w:r>
        <w:rPr>
          <w:rFonts w:ascii="Times New Roman" w:hAnsi="Times New Roman"/>
          <w:b w:val="false"/>
          <w:i w:val="false"/>
          <w:color w:val="000000"/>
          <w:sz w:val="21"/>
        </w:rPr>
        <w:t>[Filed 9/13/91, Notice 7/24/91—published 10/2/91, effective 11/6/91]</w:t>
      </w:r>
    </w:p>
    <w:p>
      <w:pPr>
        <w:spacing w:before="0" w:after="0"/>
        <w:ind w:left="120"/>
        <w:jc w:val="center"/>
      </w:pPr>
      <w:r>
        <w:rPr>
          <w:rFonts w:ascii="Times New Roman" w:hAnsi="Times New Roman"/>
          <w:b w:val="false"/>
          <w:i w:val="false"/>
          <w:color w:val="000000"/>
          <w:sz w:val="21"/>
        </w:rPr>
        <w:t>[Filed 9/25/92, Notice 8/5/92—published 10/14/92, effective 11/18/92]</w:t>
      </w:r>
    </w:p>
    <w:p>
      <w:pPr>
        <w:spacing w:before="0" w:after="0"/>
        <w:ind w:left="120"/>
        <w:jc w:val="center"/>
      </w:pPr>
      <w:r>
        <w:rPr>
          <w:rFonts w:ascii="Times New Roman" w:hAnsi="Times New Roman"/>
          <w:b w:val="false"/>
          <w:i w:val="false"/>
          <w:color w:val="000000"/>
          <w:sz w:val="21"/>
        </w:rPr>
        <w:t>[Filed 1/20/95, Notice 12/7/94—published 2/15/95, effective 3/22/95]</w:t>
      </w:r>
    </w:p>
    <w:p>
      <w:pPr>
        <w:spacing w:before="0" w:after="0"/>
        <w:ind w:left="120"/>
        <w:jc w:val="center"/>
      </w:pPr>
      <w:r>
        <w:rPr>
          <w:rFonts w:ascii="Times New Roman" w:hAnsi="Times New Roman"/>
          <w:b w:val="false"/>
          <w:i w:val="false"/>
          <w:color w:val="000000"/>
          <w:sz w:val="21"/>
        </w:rPr>
        <w:t>[Filed 11/30/95, Notice 10/25/95—published 12/20/95, effective 1/26/96]</w:t>
      </w:r>
    </w:p>
    <w:p>
      <w:pPr>
        <w:spacing w:before="0" w:after="0"/>
        <w:ind w:left="120"/>
        <w:jc w:val="center"/>
      </w:pPr>
      <w:r>
        <w:rPr>
          <w:rFonts w:ascii="Times New Roman" w:hAnsi="Times New Roman"/>
          <w:b w:val="false"/>
          <w:i w:val="false"/>
          <w:color w:val="000000"/>
          <w:sz w:val="21"/>
        </w:rPr>
        <w:t>[Filed 8/8/96, Notice 6/19/96—published 8/28/96, effective 10/2/96]</w:t>
      </w:r>
    </w:p>
    <w:p>
      <w:pPr>
        <w:spacing w:before="0" w:after="0"/>
        <w:ind w:left="120"/>
        <w:jc w:val="center"/>
      </w:pPr>
      <w:r>
        <w:rPr>
          <w:rFonts w:ascii="Times New Roman" w:hAnsi="Times New Roman"/>
          <w:b w:val="false"/>
          <w:i w:val="false"/>
          <w:color w:val="000000"/>
          <w:sz w:val="21"/>
        </w:rPr>
        <w:t>[Filed 10/1/99, Notice 8/11/99—published 10/20/99, effective 11/24/99]</w:t>
      </w:r>
    </w:p>
    <w:p>
      <w:pPr>
        <w:spacing w:before="0" w:after="0"/>
        <w:ind w:left="120"/>
        <w:jc w:val="center"/>
      </w:pPr>
      <w:r>
        <w:rPr>
          <w:rFonts w:ascii="Times New Roman" w:hAnsi="Times New Roman"/>
          <w:b w:val="false"/>
          <w:i w:val="false"/>
          <w:color w:val="000000"/>
          <w:sz w:val="21"/>
        </w:rPr>
        <w:t>[Filed 11/21/02, Notice 9/18/02—published 12/11/02, effective 1/15/03]</w:t>
      </w:r>
    </w:p>
    <w:p>
      <w:pPr>
        <w:spacing w:before="0" w:after="0"/>
        <w:ind w:left="120"/>
        <w:jc w:val="center"/>
      </w:pPr>
      <w:r>
        <w:rPr>
          <w:rFonts w:ascii="Times New Roman" w:hAnsi="Times New Roman"/>
          <w:b w:val="false"/>
          <w:i w:val="false"/>
          <w:color w:val="000000"/>
          <w:sz w:val="21"/>
        </w:rPr>
        <w:t>[Filed 4/11/03, Notice 2/19/03—published 4/30/03, effective 6/4/03]</w:t>
      </w:r>
    </w:p>
    <w:p>
      <w:pPr>
        <w:spacing w:before="0" w:after="0"/>
        <w:ind w:left="120"/>
        <w:jc w:val="center"/>
      </w:pPr>
      <w:r>
        <w:rPr>
          <w:rFonts w:ascii="Times New Roman" w:hAnsi="Times New Roman"/>
          <w:b w:val="false"/>
          <w:i w:val="false"/>
          <w:color w:val="000000"/>
          <w:sz w:val="21"/>
        </w:rPr>
        <w:t>[Filed 9/24/04, Notice 6/23/04—published 10/13/04, effective 11/17/04]</w:t>
      </w:r>
    </w:p>
    <w:p>
      <w:pPr>
        <w:spacing w:before="0" w:after="0"/>
        <w:ind w:left="120"/>
        <w:jc w:val="center"/>
      </w:pPr>
      <w:r>
        <w:rPr>
          <w:rFonts w:ascii="Times New Roman" w:hAnsi="Times New Roman"/>
          <w:b w:val="false"/>
          <w:i w:val="false"/>
          <w:color w:val="000000"/>
          <w:sz w:val="21"/>
        </w:rPr>
        <w:t>[Filed ARC 2205C</w:t>
      </w:r>
      <w:r>
        <w:rPr>
          <w:rFonts w:ascii="Times New Roman" w:hAnsi="Times New Roman"/>
          <w:b w:val="false"/>
          <w:i w:val="false"/>
          <w:color w:val="000000"/>
          <w:sz w:val="21"/>
        </w:rPr>
        <w:t xml:space="preserve"> (Notice ARC 2037C, IAB 6/24/15)</w:t>
      </w:r>
      <w:r>
        <w:rPr>
          <w:rFonts w:ascii="Times New Roman" w:hAnsi="Times New Roman"/>
          <w:b w:val="false"/>
          <w:i w:val="false"/>
          <w:color w:val="000000"/>
          <w:sz w:val="21"/>
        </w:rPr>
        <w:t>, IAB 10/28/15, effective 12/2/15]</w:t>
      </w:r>
    </w:p>
    <w:p>
      <w:pPr>
        <w:spacing w:before="0" w:after="0"/>
        <w:ind w:left="120"/>
        <w:jc w:val="center"/>
      </w:pPr>
      <w:r>
        <w:rPr>
          <w:rFonts w:ascii="Times New Roman" w:hAnsi="Times New Roman"/>
          <w:b w:val="false"/>
          <w:i w:val="false"/>
          <w:color w:val="000000"/>
          <w:sz w:val="21"/>
        </w:rPr>
        <w:t>[Filed ARC 2752C</w:t>
      </w:r>
      <w:r>
        <w:rPr>
          <w:rFonts w:ascii="Times New Roman" w:hAnsi="Times New Roman"/>
          <w:b w:val="false"/>
          <w:i w:val="false"/>
          <w:color w:val="000000"/>
          <w:sz w:val="21"/>
        </w:rPr>
        <w:t xml:space="preserve"> (Notice ARC 2582C, IAB 6/22/16)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8407C</w:t>
      </w:r>
      <w:r>
        <w:rPr>
          <w:rFonts w:ascii="Times New Roman" w:hAnsi="Times New Roman"/>
          <w:b w:val="false"/>
          <w:i w:val="false"/>
          <w:color w:val="000000"/>
          <w:sz w:val="21"/>
        </w:rPr>
        <w:t xml:space="preserve"> (Notice ARC 8169C, IAB 8/7/24)</w:t>
      </w:r>
      <w:r>
        <w:rPr>
          <w:rFonts w:ascii="Times New Roman" w:hAnsi="Times New Roman"/>
          <w:b w:val="false"/>
          <w:i w:val="false"/>
          <w:color w:val="000000"/>
          <w:sz w:val="21"/>
        </w:rPr>
        <w:t>, IAB 11/27/24, effective 1/1/25]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6.183.pdf" Type="http://schemas.openxmlformats.org/officeDocument/2006/relationships/hyperlink" Id="rId5"/>
    <Relationship TargetMode="External" Target="https://www.legis.iowa.gov/docs/iac/rule/283.12.5.pdf" Type="http://schemas.openxmlformats.org/officeDocument/2006/relationships/hyperlink" Id="rId6"/>
    <Relationship TargetMode="External" Target="https://www.legis.iowa.gov/docs/iac/rule/283.10.2.pdf" Type="http://schemas.openxmlformats.org/officeDocument/2006/relationships/hyperlink" Id="rId7"/>
    <Relationship TargetMode="External" Target="https://www.legis.iowa.gov/docs/iac/rule/283.10.2.pdf" Type="http://schemas.openxmlformats.org/officeDocument/2006/relationships/hyperlink" Id="rId8"/>
    <Relationship TargetMode="External" Target="https://www.legis.iowa.gov/docs/iac/rule/283.10.2.pdf" Type="http://schemas.openxmlformats.org/officeDocument/2006/relationships/hyperlink" Id="rId9"/>
    <Relationship TargetMode="External" Target="https://www.legis.iowa.gov/docs/iac/rule/283.10.2.pdf" Type="http://schemas.openxmlformats.org/officeDocument/2006/relationships/hyperlink" Id="rId10"/>
    <Relationship TargetMode="External" Target="https://www.legis.iowa.gov/docs/iac/rule/283.10.2.pdf" Type="http://schemas.openxmlformats.org/officeDocument/2006/relationships/hyperlink" Id="rId11"/>
    <Relationship TargetMode="External" Target="https://www.legis.iowa.gov/docs/iac/rule/283.10.2.pdf" Type="http://schemas.openxmlformats.org/officeDocument/2006/relationships/hyperlink" Id="rId12"/>
    <Relationship TargetMode="External" Target="https://www.legis.iowa.gov/docs/iac/rule/283.10.2.pdf" Type="http://schemas.openxmlformats.org/officeDocument/2006/relationships/hyperlink" Id="rId13"/>
    <Relationship TargetMode="External" Target="https://www.legis.iowa.gov/docs/iac/rule/283.10.3.pdf" Type="http://schemas.openxmlformats.org/officeDocument/2006/relationships/hyperlink" Id="rId14"/>
    <Relationship TargetMode="External" Target="https://www.legis.iowa.gov/docs/ico/chapter/256.183.pdf" Type="http://schemas.openxmlformats.org/officeDocument/2006/relationships/hyperlink" Id="rId15"/>
    <Relationship TargetMode="External" Target="https://www.legis.iowa.gov/docs/ico/chapter/256.183-190.pdf" Type="http://schemas.openxmlformats.org/officeDocument/2006/relationships/hyperlink" Id="rId16"/>
    <Relationship TargetMode="External" Target="https://www.legis.iowa.gov/docs/ico/chapter/256.183-190.pdf" Type="http://schemas.openxmlformats.org/officeDocument/2006/relationships/hyperlink" Id="rId17"/>
    <Relationship TargetMode="External" Target="https://www.legis.iowa.gov/docs/ico/chapter/256.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