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UNIFORM POLICIES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283—10.1</w:t>
      </w:r>
      <w:r>
        <w:rPr>
          <w:rFonts w:ascii="Times New Roman" w:hAnsi="Times New Roman"/>
          <w:b/>
          <w:i w:val="false"/>
          <w:color w:val="000000"/>
          <w:sz w:val="22"/>
        </w:rPr>
        <w:t xml:space="preserve">(261)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criteria for determining whether a student is considered a resident of Iowa for the purposes of gaining eligibility for funding under programs administered by the college student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283—10.2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is the means by which the commission ranks the relative financial need of an applicant for financial assistance. The calculated financial metric shall be evaluated annually on the basis of a confidential statement of family finances filed on a form designated by the commission. The commission has adopted the use of the Free Application for Federal Student Aid (FAFSA), a federal form developed by the U.S. Department of Education, which is used to determine the financial metric. Relative need will be ranked based on the applicant’s financial metric provided by the U.S. Department of Education. The FAFSA must be received by the processing agent by the date specified by the commission. A negative financial metric is the equivalent of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is the difference between the applicant’s cost of attendance, as defined in Title IV of the federal Higher Education Act of 1965, as of July 1, 2023, and the applicant’s financial metric and other available financial assistance at the eligible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enrollment in at least 12 semester credit hours, or the equivalent, that are part of a program of study. Credits that a student receives through “life experience credit” and “credit by examination” are not eligible for funding. Only coursework required for the student’s eligible program of study can be used to determine enrollment status for state award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attending an Iowa regent university, Iowa private college or university, or Iowa barber or cosmetology college, meets the criteria used by the state board of regents to determine residency for tuition purposes as described in rule </w:t>
      </w:r>
      <w:hyperlink r:id="rId5">
        <w:r>
          <w:rPr>
            <w:rStyle w:val="Hyperlink"/>
            <w:rFonts w:ascii="Times New Roman" w:hAnsi="Times New Roman"/>
            <w:b w:val="false"/>
            <w:i w:val="false"/>
            <w:color w:val="000000"/>
            <w:sz w:val="22"/>
          </w:rPr>
          <w:t>681—1.4</w:t>
        </w:r>
      </w:hyperlink>
      <w:r>
        <w:rPr>
          <w:rFonts w:ascii="Times New Roman" w:hAnsi="Times New Roman"/>
          <w:b w:val="false"/>
          <w:i w:val="false"/>
          <w:color w:val="000000"/>
          <w:sz w:val="22"/>
        </w:rPr>
        <w:t xml:space="preserve">(262) and, if the person qualifies for residency only as described in </w:t>
      </w:r>
      <w:hyperlink r:id="rId6">
        <w:r>
          <w:rPr>
            <w:rStyle w:val="Hyperlink"/>
            <w:rFonts w:ascii="Times New Roman" w:hAnsi="Times New Roman"/>
            <w:b w:val="false"/>
            <w:i w:val="false"/>
            <w:color w:val="000000"/>
            <w:sz w:val="22"/>
          </w:rPr>
          <w:t>681—paragraph 1.4(2)</w:t>
        </w:r>
      </w:hyperlink>
      <w:r>
        <w:rPr>
          <w:rFonts w:ascii="Times New Roman" w:hAnsi="Times New Roman"/>
          <w:b w:val="false"/>
          <w:i/>
          <w:color w:val="000000"/>
          <w:sz w:val="22"/>
        </w:rPr>
        <w:t>“b,”</w:t>
      </w:r>
      <w:r>
        <w:rPr>
          <w:rFonts w:ascii="Times New Roman" w:hAnsi="Times New Roman"/>
          <w:b w:val="false"/>
          <w:i w:val="false"/>
          <w:color w:val="000000"/>
          <w:sz w:val="22"/>
        </w:rPr>
        <w:t xml:space="preserve"> meets the following additional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veteran or qualifying military person domiciled in the state of Iowa who is not dependent upon a parent for financial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dependent veteran or qualifying military person whose parent is domiciled in the state of Iowa;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the spouse, domestic partner, or dependent child of a veteran or qualifying military person who is domiciled in the state of Iowa;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attending an Iowa community college, meets the criteria defined by the Iowa department of education to determine residency for community college tuition purposes as defined in </w:t>
      </w:r>
      <w:hyperlink r:id="rId7">
        <w:r>
          <w:rPr>
            <w:rStyle w:val="Hyperlink"/>
            <w:rFonts w:ascii="Times New Roman" w:hAnsi="Times New Roman"/>
            <w:b w:val="false"/>
            <w:i w:val="false"/>
            <w:color w:val="000000"/>
            <w:sz w:val="22"/>
          </w:rPr>
          <w:t>281—subrule 21.2(11)</w:t>
        </w:r>
      </w:hyperlink>
      <w:r>
        <w:rPr>
          <w:rFonts w:ascii="Times New Roman" w:hAnsi="Times New Roman"/>
          <w:b w:val="false"/>
          <w:i w:val="false"/>
          <w:color w:val="000000"/>
          <w:sz w:val="22"/>
        </w:rPr>
        <w:t xml:space="preserve"> and, if the person qualifies for residency only as described in </w:t>
      </w:r>
      <w:hyperlink r:id="rId8">
        <w:r>
          <w:rPr>
            <w:rStyle w:val="Hyperlink"/>
            <w:rFonts w:ascii="Times New Roman" w:hAnsi="Times New Roman"/>
            <w:b w:val="false"/>
            <w:i w:val="false"/>
            <w:color w:val="000000"/>
            <w:sz w:val="22"/>
          </w:rPr>
          <w:t>281—subparagraph 21.2(11)</w:t>
        </w:r>
      </w:hyperlink>
      <w:r>
        <w:rPr>
          <w:rFonts w:ascii="Times New Roman" w:hAnsi="Times New Roman"/>
          <w:b w:val="false"/>
          <w:i/>
          <w:color w:val="000000"/>
          <w:sz w:val="22"/>
        </w:rPr>
        <w:t>“b”</w:t>
      </w:r>
      <w:r>
        <w:rPr>
          <w:rFonts w:ascii="Times New Roman" w:hAnsi="Times New Roman"/>
          <w:b w:val="false"/>
          <w:i w:val="false"/>
          <w:color w:val="000000"/>
          <w:sz w:val="22"/>
        </w:rPr>
        <w:t>(5), meets the following additional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veteran of uniformed service or a national guard member domiciled in the state of Iowa who is not dependent upon a parent for financial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dependent veteran of uniformed service or a national guard member whose parent is domiciled in the state of Iowa;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the spouse, domestic partner, or dependent child of a veteran of uniformed service or a national guard member who is domiciled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enrollment which includes 3 to 11 semester credit hours, or the equivalent, that are part of a program of study. Credits that a student receives through “life experience credit” and “credit by examination” are not eligible for funding. Only coursework required for the student’s eligible program of study can be used to determine enrollment status for state award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means a course of study that is eligible for federal student aid programs and leads to an undergraduate diploma, certificate, or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is determined by the eligible institution, the standards of which meet the criteria for participation in federal student aid programs and are published on the eligible institution’s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283—10.3</w:t>
      </w:r>
      <w:r>
        <w:rPr>
          <w:rFonts w:ascii="Times New Roman" w:hAnsi="Times New Roman"/>
          <w:b/>
          <w:i w:val="false"/>
          <w:color w:val="000000"/>
          <w:sz w:val="22"/>
        </w:rPr>
        <w:t xml:space="preserve">(261) </w:t>
      </w:r>
      <w:r>
        <w:rPr>
          <w:rFonts w:ascii="Times New Roman" w:hAnsi="Times New Roman"/>
          <w:b/>
          <w:i w:val="false"/>
          <w:color w:val="000000"/>
          <w:sz w:val="22"/>
        </w:rPr>
        <w:t xml:space="preserve">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A student who is in default on a Stafford Loan, SLS Loan, or a Perkins/National Direct/National Defense Student Loan or who owes a repayment on any Title IV grant assistance or state award shall be ineligible for assistance under the program. The student regains eligibility under this rule by providing documentation to the institution that the student has regained eligibility under Title IV of the Higher Education Act of 1965, as of July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Emergency After Notice ARC 7130C</w:t>
      </w:r>
      <w:r>
        <w:rPr>
          <w:rFonts w:ascii="Times New Roman" w:hAnsi="Times New Roman"/>
          <w:b w:val="false"/>
          <w:i w:val="false"/>
          <w:color w:val="000000"/>
          <w:sz w:val="21"/>
        </w:rPr>
        <w:t xml:space="preserve"> (Notice ARC 7100C, IAB 10/4/23)</w:t>
      </w:r>
      <w:r>
        <w:rPr>
          <w:rFonts w:ascii="Times New Roman" w:hAnsi="Times New Roman"/>
          <w:b w:val="false"/>
          <w:i w:val="false"/>
          <w:color w:val="000000"/>
          <w:sz w:val="21"/>
        </w:rPr>
        <w:t>, IAB 12/13/23, effective 11/17/23]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4.pdf" Type="http://schemas.openxmlformats.org/officeDocument/2006/relationships/hyperlink" Id="rId5"/>
    <Relationship TargetMode="External" Target="https://www.legis.iowa.gov/docs/iac/rule/681.1.4.pdf" Type="http://schemas.openxmlformats.org/officeDocument/2006/relationships/hyperlink" Id="rId6"/>
    <Relationship TargetMode="External" Target="https://www.legis.iowa.gov/docs/iac/rule/281.21.2.pdf" Type="http://schemas.openxmlformats.org/officeDocument/2006/relationships/hyperlink" Id="rId7"/>
    <Relationship TargetMode="External" Target="https://www.legis.iowa.gov/docs/iac/rule/281.21.2.pdf" Type="http://schemas.openxmlformats.org/officeDocument/2006/relationships/hyperlink" Id="rId8"/>
    <Relationship TargetMode="External" Target="https://www.legis.iowa.gov/docs/ico/chapter/26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