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spacing w:before="0" w:after="0"/>
        <w:ind w:left="120"/>
        <w:jc w:val="center"/>
      </w:pPr>
      <w:r>
        <w:rPr>
          <w:rFonts w:ascii="Times New Roman" w:hAnsi="Times New Roman"/>
          <w:b w:val="false"/>
          <w:i w:val="false"/>
          <w:color w:val="000000"/>
          <w:sz w:val="14"/>
        </w:rPr>
        <w:t>[Prior to 8/10/88, see College Aid Commission, 245—Ch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283—1.1</w:t>
      </w:r>
      <w:r>
        <w:rPr>
          <w:rFonts w:ascii="Times New Roman" w:hAnsi="Times New Roman"/>
          <w:b/>
          <w:i w:val="false"/>
          <w:color w:val="000000"/>
          <w:sz w:val="22"/>
        </w:rPr>
        <w:t xml:space="preserve">(256)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the organization, operation, and location of the Iowa college student aid commission (hereinafter generally referred to as the commission, or the ICSAC) and describes the means by which any interested person may obtain information and make submittals or requests.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283—1.2</w:t>
      </w:r>
      <w:r>
        <w:rPr>
          <w:rFonts w:ascii="Times New Roman" w:hAnsi="Times New Roman"/>
          <w:b/>
          <w:i w:val="false"/>
          <w:color w:val="000000"/>
          <w:sz w:val="22"/>
        </w:rPr>
        <w:t xml:space="preserve">(256) </w:t>
      </w:r>
      <w:r>
        <w:rPr>
          <w:rFonts w:ascii="Times New Roman" w:hAnsi="Times New Roman"/>
          <w:b/>
          <w:i w:val="false"/>
          <w:color w:val="000000"/>
          <w:sz w:val="22"/>
        </w:rPr>
        <w:t xml:space="preserve">Organization and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The commission is located at 400 E. 14th Street, Des Moines, Iowa 50319-0146; telephone 877.272.4456; Internet site </w:t>
      </w:r>
      <w:hyperlink r:id="rId5">
        <w:r>
          <w:rPr>
            <w:rStyle w:val="Hyperlink"/>
            <w:rFonts w:ascii="Times New Roman" w:hAnsi="Times New Roman"/>
            <w:b w:val="false"/>
            <w:i w:val="false"/>
            <w:color w:val="000000"/>
            <w:sz w:val="22"/>
            <w:u w:val="single"/>
          </w:rPr>
          <w:t>educate.iowa.gov</w:t>
        </w:r>
      </w:hyperlink>
      <w:r>
        <w:rPr>
          <w:rFonts w:ascii="Times New Roman" w:hAnsi="Times New Roman"/>
          <w:b w:val="false"/>
          <w:i w:val="false"/>
          <w:color w:val="000000"/>
          <w:sz w:val="22"/>
        </w:rPr>
        <w:t>.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to Friday. Offices are closed on Saturdays and Sundays and on official state holidays designated in accordance with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The commission. </w:t>
      </w:r>
      <w:r>
        <w:rPr>
          <w:rFonts w:ascii="Times New Roman" w:hAnsi="Times New Roman"/>
          <w:b w:val="false"/>
          <w:i w:val="false"/>
          <w:color w:val="000000"/>
          <w:sz w:val="22"/>
        </w:rPr>
        <w:t xml:space="preserve">The commission consists of 15 members and functions under the leadership of a chairperson elected by the membership. Nine members are appointed by the governor to serve four-year terms. Four of the governor’s appointees represent the general public, one represents parents of Iowa postsecondary students, one represents practitioners licensed under Iowa Code chapter </w:t>
      </w:r>
      <w:hyperlink r:id="rId6">
        <w:r>
          <w:rPr>
            <w:rStyle w:val="Hyperlink"/>
            <w:rFonts w:ascii="Times New Roman" w:hAnsi="Times New Roman"/>
            <w:b w:val="false"/>
            <w:i w:val="false"/>
            <w:color w:val="000000"/>
            <w:sz w:val="22"/>
          </w:rPr>
          <w:t>272</w:t>
        </w:r>
      </w:hyperlink>
      <w:r>
        <w:rPr>
          <w:rFonts w:ascii="Times New Roman" w:hAnsi="Times New Roman"/>
          <w:b w:val="false"/>
          <w:i w:val="false"/>
          <w:color w:val="000000"/>
          <w:sz w:val="22"/>
        </w:rPr>
        <w:t>, one represents Iowa independent colleges and universities, one represents Iowa community colleges, and one represents Iowa postsecondary students. One member is appointed by the board of regents. The president of the senate, the minority leader of the senate, the speaker of the house of representatives, and the minority leader of the house of representatives each appoint one ex officio, nonvoting commission member. The director of the department of education serves as a continuous member of the commission and may appoint a designee to represent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The commission shall meet at regular intervals at least six times annually, but not more than eight times in person annually.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chairperson of the commission presides at each meeting. Members of the public may be recognized at the discretion of the chairperson. All meetings are open to the public in accordance with the open meetings law,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shall give advance public notice of the time and place of each commission meeting. The notice will include the specific date, time, and place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quorum shall consist of two-thirds of the voting members of the commission. When a quorum is present, a position is carried by an affirmative vote of the majority of commission members eligible to vote.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specific time is set aside at each meeting for the public to address the commission. As a general guideline, a limit of five minutes will be allocated for each of these presentations. If a large group seeks to address a specific issue, the chairperson may limit the number of speakers. Members of the public who wish to address the commission during this portion of the meeting are required to notify the commission’s administrative secretary prior to the meeting. The person’s name and the subject of the person’s remarks must be provided. To accommodate maximum public participation, members of the public are encouraged to submit requests at least 72 hours in advance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minutes of all commission meetings are recorded and kept by the executive director in the commission office. Upon approval by the commission, minutes are posted on the commission’s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records of all business transacted and other information with respect to the operation of the commission are public records and are on file in the commission office. All records, except statements specified as confidential under these rules, are available for inspection during regular business hours. Copies of records up to 25 pages in number may be obtained without charge. The cost of reproduction will be charged for pages in excess of 25. Digital media will be provided for a fee equal to the cost of the physical device provided. The charge may be waived by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w:t>
      </w:r>
      <w:r>
        <w:rPr>
          <w:rFonts w:ascii="Times New Roman" w:hAnsi="Times New Roman"/>
          <w:b w:val="false"/>
          <w:i w:val="false"/>
          <w:color w:val="000000"/>
          <w:sz w:val="22"/>
        </w:rPr>
        <w:t> </w:t>
      </w:r>
      <w:r>
        <w:rPr>
          <w:rFonts w:ascii="Times New Roman" w:hAnsi="Times New Roman"/>
          <w:b w:val="false"/>
          <w:i/>
          <w:color w:val="000000"/>
          <w:sz w:val="22"/>
        </w:rPr>
        <w:t xml:space="preserve">Submission and requests. </w:t>
      </w:r>
      <w:r>
        <w:rPr>
          <w:rFonts w:ascii="Times New Roman" w:hAnsi="Times New Roman"/>
          <w:b w:val="false"/>
          <w:i w:val="false"/>
          <w:color w:val="000000"/>
          <w:sz w:val="22"/>
        </w:rPr>
        <w:t xml:space="preserve">Inquiries, submissions, petitions, and other requests directed to the commission may be made by letter addressed to the executive director at the address listed in subrule </w:t>
      </w:r>
      <w:hyperlink r:id="rId8">
        <w:r>
          <w:rPr>
            <w:rStyle w:val="Hyperlink"/>
            <w:rFonts w:ascii="Times New Roman" w:hAnsi="Times New Roman"/>
            <w:b w:val="false"/>
            <w:i w:val="false"/>
            <w:color w:val="000000"/>
            <w:sz w:val="22"/>
          </w:rPr>
          <w:t>1.2(1)</w:t>
        </w:r>
      </w:hyperlink>
      <w:r>
        <w:rPr>
          <w:rFonts w:ascii="Times New Roman" w:hAnsi="Times New Roman"/>
          <w:b w:val="false"/>
          <w:i w:val="false"/>
          <w:color w:val="000000"/>
          <w:sz w:val="22"/>
        </w:rPr>
        <w:t>. Any person may petition for a written or oral hearing before the commission. All requests for a hearing must be in writing and state the specific subject to be discussed and the reasons a personal appearance is necessary if one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w:t>
      </w:r>
      <w:r>
        <w:rPr>
          <w:rFonts w:ascii="Times New Roman" w:hAnsi="Times New Roman"/>
          <w:b w:val="false"/>
          <w:i w:val="false"/>
          <w:color w:val="000000"/>
          <w:sz w:val="22"/>
        </w:rPr>
        <w:t> </w:t>
      </w:r>
      <w:r>
        <w:rPr>
          <w:rFonts w:ascii="Times New Roman" w:hAnsi="Times New Roman"/>
          <w:b w:val="false"/>
          <w:i/>
          <w:color w:val="000000"/>
          <w:sz w:val="22"/>
        </w:rPr>
        <w:t xml:space="preserve">Advisory councils.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2/19/14</w:t>
      </w:r>
      <w:r>
        <w:rPr>
          <w:rFonts w:ascii="Times New Roman" w:hAnsi="Times New Roman"/>
          <w:b w:val="false"/>
          <w:i w:val="false"/>
          <w:color w:val="000000"/>
          <w:sz w:val="22"/>
        </w:rPr>
        <w:t>, effective 3/26/14.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9391B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1318C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3699C</w:t>
      </w:r>
      <w:r>
        <w:rPr>
          <w:rFonts w:ascii="Times New Roman" w:hAnsi="Times New Roman"/>
          <w:b w:val="false"/>
          <w:i w:val="false"/>
          <w:color w:val="000000"/>
          <w:sz w:val="16"/>
        </w:rPr>
        <w:t>, IAB 3/28/18, effective 5/2/18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3844C</w:t>
      </w:r>
      <w:r>
        <w:rPr>
          <w:rFonts w:ascii="Times New Roman" w:hAnsi="Times New Roman"/>
          <w:b w:val="false"/>
          <w:i w:val="false"/>
          <w:color w:val="000000"/>
          <w:sz w:val="16"/>
        </w:rPr>
        <w:t>, IAB 6/20/18, effective 5/18/18</w:t>
      </w:r>
      <w:r>
        <w:rPr>
          <w:rFonts w:ascii="Times New Roman" w:hAnsi="Times New Roman"/>
          <w:b w:val="false"/>
          <w:i w:val="false"/>
          <w:color w:val="000000"/>
          <w:sz w:val="16"/>
        </w:rPr>
        <w:t xml:space="preserve">; </w:t>
      </w:r>
      <w:r>
        <w:rPr>
          <w:rFonts w:ascii="Times New Roman" w:hAnsi="Times New Roman"/>
          <w:b/>
          <w:i w:val="false"/>
          <w:color w:val="000000"/>
          <w:sz w:val="16"/>
        </w:rPr>
        <w:t>ARC 3854C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4373C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17A.3(1)</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chapter </w:t>
      </w:r>
      <w:hyperlink r:id="rId10">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1/7/77, Notice 10/20/76—published 1/26/77, effective 3/2/77]</w:t>
      </w:r>
    </w:p>
    <w:p>
      <w:pPr>
        <w:spacing w:before="0" w:after="0"/>
        <w:ind w:left="120"/>
        <w:jc w:val="center"/>
      </w:pPr>
      <w:r>
        <w:rPr>
          <w:rFonts w:ascii="Times New Roman" w:hAnsi="Times New Roman"/>
          <w:b w:val="false"/>
          <w:i w:val="false"/>
          <w:color w:val="000000"/>
          <w:sz w:val="21"/>
        </w:rPr>
        <w:t>[Filed 2/16/79, Notice 11/1/78—published 3/7/79, effective 4/11/79]</w:t>
      </w:r>
    </w:p>
    <w:p>
      <w:pPr>
        <w:spacing w:before="0" w:after="0"/>
        <w:ind w:left="120"/>
        <w:jc w:val="center"/>
      </w:pPr>
      <w:r>
        <w:rPr>
          <w:rFonts w:ascii="Times New Roman" w:hAnsi="Times New Roman"/>
          <w:b w:val="false"/>
          <w:i w:val="false"/>
          <w:color w:val="000000"/>
          <w:sz w:val="21"/>
        </w:rPr>
        <w:t>[Filed 12/18/81, Notice 10/14/81—published 1/6/82, effective 2/10/82]</w:t>
      </w:r>
    </w:p>
    <w:p>
      <w:pPr>
        <w:spacing w:before="0" w:after="0"/>
        <w:ind w:left="120"/>
        <w:jc w:val="center"/>
      </w:pPr>
      <w:r>
        <w:rPr>
          <w:rFonts w:ascii="Times New Roman" w:hAnsi="Times New Roman"/>
          <w:b w:val="false"/>
          <w:i w:val="false"/>
          <w:color w:val="000000"/>
          <w:sz w:val="21"/>
        </w:rPr>
        <w:t>[Filed 3/9/82, Notice 1/6/82—published 3/31/82, effective 5/5/82]</w:t>
      </w:r>
    </w:p>
    <w:p>
      <w:pPr>
        <w:spacing w:before="0" w:after="0"/>
        <w:ind w:left="120"/>
        <w:jc w:val="center"/>
      </w:pPr>
      <w:r>
        <w:rPr>
          <w:rFonts w:ascii="Times New Roman" w:hAnsi="Times New Roman"/>
          <w:b w:val="false"/>
          <w:i w:val="false"/>
          <w:color w:val="000000"/>
          <w:sz w:val="21"/>
        </w:rPr>
        <w:t>[Filed 6/15/84, Notice 4/11/84—published 7/4/84, effective 8/8/84]</w:t>
      </w:r>
    </w:p>
    <w:p>
      <w:pPr>
        <w:spacing w:before="0" w:after="0"/>
        <w:ind w:left="120"/>
        <w:jc w:val="center"/>
      </w:pPr>
      <w:r>
        <w:rPr>
          <w:rFonts w:ascii="Times New Roman" w:hAnsi="Times New Roman"/>
          <w:b w:val="false"/>
          <w:i w:val="false"/>
          <w:color w:val="000000"/>
          <w:sz w:val="21"/>
        </w:rPr>
        <w:t>[Filed 9/18/85, Notice 7/31/85—published 10/9/85, effective 11/13/85]</w:t>
      </w:r>
    </w:p>
    <w:p>
      <w:pPr>
        <w:spacing w:before="0" w:after="0"/>
        <w:ind w:left="120"/>
        <w:jc w:val="center"/>
      </w:pPr>
      <w:r>
        <w:rPr>
          <w:rFonts w:ascii="Times New Roman" w:hAnsi="Times New Roman"/>
          <w:b w:val="false"/>
          <w:i w:val="false"/>
          <w:color w:val="000000"/>
          <w:sz w:val="21"/>
        </w:rPr>
        <w:t>[Filed 7/22/88, Notice 3/9/88—published 8/10/88, effective 9/14/88]</w:t>
      </w:r>
    </w:p>
    <w:p>
      <w:pPr>
        <w:spacing w:before="0" w:after="0"/>
        <w:ind w:left="120"/>
        <w:jc w:val="center"/>
      </w:pPr>
      <w:r>
        <w:rPr>
          <w:rFonts w:ascii="Times New Roman" w:hAnsi="Times New Roman"/>
          <w:b w:val="false"/>
          <w:i w:val="false"/>
          <w:color w:val="000000"/>
          <w:sz w:val="21"/>
        </w:rPr>
        <w:t>[Filed 1/29/91, Notice 12/12/90—published 2/20/91, effective 3/27/91]</w:t>
      </w:r>
    </w:p>
    <w:p>
      <w:pPr>
        <w:spacing w:before="0" w:after="0"/>
        <w:ind w:left="120"/>
        <w:jc w:val="center"/>
      </w:pPr>
      <w:r>
        <w:rPr>
          <w:rFonts w:ascii="Times New Roman" w:hAnsi="Times New Roman"/>
          <w:b w:val="false"/>
          <w:i w:val="false"/>
          <w:color w:val="000000"/>
          <w:sz w:val="21"/>
        </w:rPr>
        <w:t>[Filed 1/30/92, Notice 12/11/91—published 2/19/92, effective 3/25/92]</w:t>
      </w:r>
    </w:p>
    <w:p>
      <w:pPr>
        <w:spacing w:before="0" w:after="0"/>
        <w:ind w:left="120"/>
        <w:jc w:val="center"/>
      </w:pPr>
      <w:r>
        <w:rPr>
          <w:rFonts w:ascii="Times New Roman" w:hAnsi="Times New Roman"/>
          <w:b w:val="false"/>
          <w:i w:val="false"/>
          <w:color w:val="000000"/>
          <w:sz w:val="21"/>
        </w:rPr>
        <w:t>[Filed 9/25/92, Notice 8/5/92—published 10/14/92, effective 11/18/92]</w:t>
      </w:r>
    </w:p>
    <w:p>
      <w:pPr>
        <w:spacing w:before="0" w:after="0"/>
        <w:ind w:left="120"/>
        <w:jc w:val="center"/>
      </w:pPr>
      <w:r>
        <w:rPr>
          <w:rFonts w:ascii="Times New Roman" w:hAnsi="Times New Roman"/>
          <w:b w:val="false"/>
          <w:i w:val="false"/>
          <w:color w:val="000000"/>
          <w:sz w:val="21"/>
        </w:rPr>
        <w:t>[Filed 12/1/97, Notice 10/8/97—published 12/17/97, effective 1/28/98]</w:t>
      </w:r>
    </w:p>
    <w:p>
      <w:pPr>
        <w:spacing w:before="0" w:after="0"/>
        <w:ind w:left="120"/>
        <w:jc w:val="center"/>
      </w:pPr>
      <w:r>
        <w:rPr>
          <w:rFonts w:ascii="Times New Roman" w:hAnsi="Times New Roman"/>
          <w:b w:val="false"/>
          <w:i w:val="false"/>
          <w:color w:val="000000"/>
          <w:sz w:val="21"/>
        </w:rPr>
        <w:t>[Filed 1/30/03, Notice 12/11/02—published 2/19/03, effective 3/26/03]</w:t>
      </w:r>
    </w:p>
    <w:p>
      <w:pPr>
        <w:spacing w:before="0" w:after="0"/>
        <w:ind w:left="120"/>
        <w:jc w:val="center"/>
      </w:pPr>
      <w:r>
        <w:rPr>
          <w:rFonts w:ascii="Times New Roman" w:hAnsi="Times New Roman"/>
          <w:b w:val="false"/>
          <w:i w:val="false"/>
          <w:color w:val="000000"/>
          <w:sz w:val="21"/>
        </w:rPr>
        <w:t>[Filed ARC 9391B</w:t>
      </w:r>
      <w:r>
        <w:rPr>
          <w:rFonts w:ascii="Times New Roman" w:hAnsi="Times New Roman"/>
          <w:b w:val="false"/>
          <w:i w:val="false"/>
          <w:color w:val="000000"/>
          <w:sz w:val="21"/>
        </w:rPr>
        <w:t xml:space="preserve"> (Notice ARC 9271B, IAB 12/15/10)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1318C</w:t>
      </w:r>
      <w:r>
        <w:rPr>
          <w:rFonts w:ascii="Times New Roman" w:hAnsi="Times New Roman"/>
          <w:b w:val="false"/>
          <w:i w:val="false"/>
          <w:color w:val="000000"/>
          <w:sz w:val="21"/>
        </w:rPr>
        <w:t xml:space="preserve"> (Notice ARC 1123C, IAB 10/16/13)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3699C</w:t>
      </w:r>
      <w:r>
        <w:rPr>
          <w:rFonts w:ascii="Times New Roman" w:hAnsi="Times New Roman"/>
          <w:b w:val="false"/>
          <w:i w:val="false"/>
          <w:color w:val="000000"/>
          <w:sz w:val="21"/>
        </w:rPr>
        <w:t xml:space="preserve"> (Notice ARC 3516C, IAB 12/20/17)</w:t>
      </w:r>
      <w:r>
        <w:rPr>
          <w:rFonts w:ascii="Times New Roman" w:hAnsi="Times New Roman"/>
          <w:b w:val="false"/>
          <w:i w:val="false"/>
          <w:color w:val="000000"/>
          <w:sz w:val="21"/>
        </w:rPr>
        <w:t>, IAB 3/28/18, effective 5/2/18]</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Emergency ARC 3844C, IAB 6/20/18, effective 5/18/18]</w:t>
      </w:r>
      <w:r>
        <w:br/>
      </w:r>
      <w:r>
        <w:rPr>
          <w:rFonts w:ascii="Times New Roman" w:hAnsi="Times New Roman"/>
          <w:b w:val="false"/>
          <w:i w:val="false"/>
          <w:color w:val="000000"/>
          <w:sz w:val="21"/>
        </w:rPr>
        <w:t>[Filed ARC 3854C</w:t>
      </w:r>
      <w:r>
        <w:rPr>
          <w:rFonts w:ascii="Times New Roman" w:hAnsi="Times New Roman"/>
          <w:b w:val="false"/>
          <w:i w:val="false"/>
          <w:color w:val="000000"/>
          <w:sz w:val="21"/>
        </w:rPr>
        <w:t xml:space="preserve"> (Notice ARC 3711C, IAB 3/28/18)</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4373C</w:t>
      </w:r>
      <w:r>
        <w:rPr>
          <w:rFonts w:ascii="Times New Roman" w:hAnsi="Times New Roman"/>
          <w:b w:val="false"/>
          <w:i w:val="false"/>
          <w:color w:val="000000"/>
          <w:sz w:val="21"/>
        </w:rPr>
        <w:t xml:space="preserve"> (Notice ARC 4080C, IAB 10/24/18)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[Editorial change: IAC Supplement 4/3/24]</w:t>
      </w:r>
    </w:p>
    <w:p>
      <w:pPr>
        <w:pBdr>
          <w:bottom w:space="2"/>
        </w:pBdr>
        <w:spacing w:before="0" w:after="0"/>
        <w:ind w:left="120"/>
        <w:jc w:val="both"/>
      </w:pPr>
      <w:r>
        <w:rPr>
          <w:rFonts w:ascii="Times New Roman" w:hAnsi="Times New Roman"/>
          <w:b w:val="false"/>
          <w:i w:val="false"/>
          <w:color w:val="000000"/>
          <w:sz w:val="22"/>
        </w:rPr>
        <w:t>May 2, 2018, effective date of 1.2(3) [ARC 3699C] delayed 70 days by the Administrative Rules Review Committee at its meeting held April 6,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educate.iowa.gov" Type="http://schemas.openxmlformats.org/officeDocument/2006/relationships/hyperlink" Id="rId5"/>
    <Relationship TargetMode="External" Target="https://www.legis.iowa.gov/docs/ico/chapter/272.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ac/rule/283.1.2.pdf"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256.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