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281—4.1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school corporation, government or governmental subdivision or agency, nonpublic school,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17A.9A(5)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281—4.2</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director may grant a waiver of any administrative rule, if the waiver is consistent with Iowa Code section </w:t>
      </w:r>
      <w:hyperlink r:id="rId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filed pursuant to this chapter, the director may in the director’s sole discretion issue an order waiving in whole or in part the obligations of a rule if the director finds, based on clear and convincing evidence, all of the factors listed in Iowa Code section </w:t>
      </w:r>
      <w:hyperlink r:id="rId7">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xml:space="preserve"> and that any waiver from the obligations of the rule in the specific case would not have a negative impact on the student achievement of any person affected by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All petitions for waiver are submitted in writing to the Director, Department of Education, Grimes State Office Building, 400 East 14th Street, Des Moines, Iowa 50319-0146. If the petition relates to a pending contested case, the petition is filed in the contested case proceeding, using the caption of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281—4.5</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includes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the criteria described in Iowa Code section </w:t>
      </w:r>
      <w:hyperlink r:id="rId8">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This statement includes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the department and the petitioner relating to the regulated activity, license, or grant affected by the proposed waiver, including a description of each affected item held by the requester, any notices of violation, contested case hearings, or investigative reports relating to the regulated activity, license, or grant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detailed statement of the impact on student achievement for any person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board’s or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If the petition was not filed in a contested case, the department may on its own motion or at the petitioner’s request, schedule a telephonic or in-person meeting between the petitioner and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281—4.7</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department will acknowledge receiving the petition and ensure that, within 30 days of the receipt of the petition, notice of the pendency of the petition and a concise summary of its contents have been provided to all persons to whom notice is necessary by any provision of law. In addition, the department may give notice to other persons. To accomplish this notice provision, the department may obligate the petitioner to serve the notice on all persons to whom notice is necessary by any provision of law and provide a written statement to the department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281—4.8</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to </w:t>
      </w:r>
      <w:hyperlink r:id="rId1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regarding contested case hearings apply in three situations: (1) to any petition for a waiver filed within a contested case, (2) when provided by rule or order, or (3) when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281—4.9</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will be in writing and will contain a reference to the particular person and rule or portion thereof to which the order pertains, a statement of the relevant facts and the reasons upon which the action is based, and a description of the precise scope and operative period of any waiver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final decision on whether the circumstances justify the granting of a waiver is in the sole discretion of the director,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standards. </w:t>
      </w:r>
      <w:r>
        <w:rPr>
          <w:rFonts w:ascii="Times New Roman" w:hAnsi="Times New Roman"/>
          <w:b w:val="false"/>
          <w:i w:val="false"/>
          <w:color w:val="000000"/>
          <w:sz w:val="22"/>
        </w:rPr>
        <w:t xml:space="preserve">The department applies the standards and burdens in Iowa Code section </w:t>
      </w:r>
      <w:hyperlink r:id="rId11">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director will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 will grant or deny a petition for a waiver as soon as practicable but, in any event, within 120 days of its receipt, unless the petitioner agrees to a later date. However, if a petition is filed in a contested case, the director will grant or deny the petition no later than the time at which the final decision in that contested case is issued. Failure of the director to grant or deny a petition within the time period is deemed a denial of that petition by the director. However, the director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is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281—4.10</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The department will comply with the public availability and filing procedures of Iowa Code section </w:t>
      </w:r>
      <w:hyperlink r:id="rId12">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w:t>
      </w:r>
      <w:r>
        <w:rPr>
          <w:rFonts w:ascii="Times New Roman" w:hAnsi="Times New Roman"/>
          <w:b/>
          <w:i w:val="false"/>
          <w:color w:val="000000"/>
          <w:sz w:val="22"/>
        </w:rPr>
        <w:t xml:space="preserve">(17A) </w:t>
      </w:r>
      <w:r>
        <w:rPr>
          <w:rFonts w:ascii="Times New Roman" w:hAnsi="Times New Roman"/>
          <w:b/>
          <w:i w:val="false"/>
          <w:color w:val="000000"/>
          <w:sz w:val="22"/>
        </w:rPr>
        <w:t xml:space="preserve">After issuance of a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waiver issued pursuant to this chapter may be withdrawn, canceled or modified if, after appropriate notice and hearing, the director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conditions in the waiver approval is the equivalent of violation of the particular rule for which the waiver is granted. As a result, the recipient of a waiver under this chapter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director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director’s decision to grant or deny a waiver petition may be taken in accordance with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w:t>
      </w:r>
      <w:r>
        <w:rPr>
          <w:rFonts w:ascii="Times New Roman" w:hAnsi="Times New Roman"/>
          <w:b/>
          <w:i w:val="false"/>
          <w:color w:val="000000"/>
          <w:sz w:val="22"/>
        </w:rPr>
        <w:t xml:space="preserve">(17A) </w:t>
      </w:r>
      <w:r>
        <w:rPr>
          <w:rFonts w:ascii="Times New Roman" w:hAnsi="Times New Roman"/>
          <w:b/>
          <w:i w:val="false"/>
          <w:color w:val="000000"/>
          <w:sz w:val="22"/>
        </w:rPr>
        <w:t xml:space="preserve">Exception. </w:t>
      </w:r>
      <w:r>
        <w:rPr>
          <w:rFonts w:ascii="Times New Roman" w:hAnsi="Times New Roman"/>
          <w:b w:val="false"/>
          <w:i w:val="false"/>
          <w:color w:val="000000"/>
          <w:sz w:val="22"/>
        </w:rPr>
        <w:t xml:space="preserve">This chapter does not apply to </w:t>
      </w:r>
      <w:hyperlink r:id="rId14">
        <w:r>
          <w:rPr>
            <w:rStyle w:val="Hyperlink"/>
            <w:rFonts w:ascii="Times New Roman" w:hAnsi="Times New Roman"/>
            <w:b w:val="false"/>
            <w:i w:val="false"/>
            <w:color w:val="000000"/>
            <w:sz w:val="22"/>
          </w:rPr>
          <w:t>281—Chapters 36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or to specific waiver provisions adopted in other chapters.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3/20/01, Notice 12/13/00—published 4/18/01, effective 5/23/01]</w:t>
      </w:r>
    </w:p>
    <w:p>
      <w:pPr>
        <w:spacing w:before="0" w:after="0"/>
        <w:ind w:left="120"/>
        <w:jc w:val="center"/>
      </w:pPr>
      <w:r>
        <w:rPr>
          <w:rFonts w:ascii="Times New Roman" w:hAnsi="Times New Roman"/>
          <w:b w:val="false"/>
          <w:i w:val="false"/>
          <w:color w:val="000000"/>
          <w:sz w:val="21"/>
        </w:rPr>
        <w:t>[Filed ARC 5647C</w:t>
      </w:r>
      <w:r>
        <w:rPr>
          <w:rFonts w:ascii="Times New Roman" w:hAnsi="Times New Roman"/>
          <w:b w:val="false"/>
          <w:i w:val="false"/>
          <w:color w:val="000000"/>
          <w:sz w:val="21"/>
        </w:rPr>
        <w:t xml:space="preserve"> (Notice ARC 5465C,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7420C</w:t>
      </w:r>
      <w:r>
        <w:rPr>
          <w:rFonts w:ascii="Times New Roman" w:hAnsi="Times New Roman"/>
          <w:b w:val="false"/>
          <w:i w:val="false"/>
          <w:color w:val="000000"/>
          <w:sz w:val="21"/>
        </w:rPr>
        <w:t xml:space="preserve"> (Notice ARC 7085C,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17A.9A.pdf" Type="http://schemas.openxmlformats.org/officeDocument/2006/relationships/hyperlink" Id="rId6"/>
    <Relationship TargetMode="External" Target="https://www.legis.iowa.gov/docs/ico/chapter/17A.9A.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10.pdf" Type="http://schemas.openxmlformats.org/officeDocument/2006/relationships/hyperlink" Id="rId9"/>
    <Relationship TargetMode="External" Target="https://www.legis.iowa.gov/docs/ico/chapter/17A.18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chapter/281.36.pdf" Type="http://schemas.openxmlformats.org/officeDocument/2006/relationships/hyperlink" Id="rId14"/>
    <Relationship TargetMode="External" Target="https://www.legis.iowa.gov/docs/iac/chapter/281.37.pdf" Type="http://schemas.openxmlformats.org/officeDocument/2006/relationships/hyperlink" Id="rId15"/>
    <Relationship TargetMode="External" Target="https://www.legis.iowa.gov/docs/ico/chapter/17A.9A.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