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 xml:space="preserve">EXTRACURRICULAR ATHLETIC ACTIVITY </w:t>
      </w:r>
      <w:r>
        <w:br/>
      </w:r>
      <w:r>
        <w:rPr>
          <w:rFonts w:ascii="Times New Roman" w:hAnsi="Times New Roman"/>
          <w:b w:val="false"/>
          <w:i w:val="false"/>
          <w:color w:val="000000"/>
          <w:sz w:val="21"/>
        </w:rPr>
        <w:t>CONFERENCE FOR MEMBER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281—37.1</w:t>
      </w:r>
      <w:r>
        <w:rPr>
          <w:rFonts w:ascii="Times New Roman" w:hAnsi="Times New Roman"/>
          <w:b/>
          <w:i w:val="false"/>
          <w:color w:val="000000"/>
          <w:sz w:val="22"/>
        </w:rPr>
        <w:t xml:space="preserve">(280)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It is the policy of the state of Iowa that each school desiring to be a member of a conference providing extracurricular athletic contests and competitions for students is granted this opportunity. For purposes of this chapter, “member school” means a school or school district granted such status by any corporation, association, or organization registered with the state department of education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includes associate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To the maximum extent appropriate, membership shall be with other schools of comparable size and within reasonable geographic proximity.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responsibility. </w:t>
      </w:r>
      <w:r>
        <w:rPr>
          <w:rFonts w:ascii="Times New Roman" w:hAnsi="Times New Roman"/>
          <w:b w:val="false"/>
          <w:i w:val="false"/>
          <w:color w:val="000000"/>
          <w:sz w:val="22"/>
        </w:rPr>
        <w:t>The initial authority and responsibility for conference development, membership, and alignment rests with the board of directors of each public school district and the authorities in charge of each nonpublic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281—37.2</w:t>
      </w:r>
      <w:r>
        <w:rPr>
          <w:rFonts w:ascii="Times New Roman" w:hAnsi="Times New Roman"/>
          <w:b/>
          <w:i w:val="false"/>
          <w:color w:val="000000"/>
          <w:sz w:val="22"/>
        </w:rPr>
        <w:t xml:space="preserve">(280) </w:t>
      </w:r>
      <w:r>
        <w:rPr>
          <w:rFonts w:ascii="Times New Roman" w:hAnsi="Times New Roman"/>
          <w:b/>
          <w:i w:val="false"/>
          <w:color w:val="000000"/>
          <w:sz w:val="22"/>
        </w:rPr>
        <w:t xml:space="preserve">Complaint to the director, department of education. </w:t>
      </w:r>
      <w:r>
        <w:rPr>
          <w:rFonts w:ascii="Times New Roman" w:hAnsi="Times New Roman"/>
          <w:b w:val="false"/>
          <w:i w:val="false"/>
          <w:color w:val="000000"/>
          <w:sz w:val="22"/>
        </w:rPr>
        <w:t>A member school that believes it has been unfairly excluded or prevented from obtaining membership in an athletic activity conference that would provide the opportunity for participation of its students in athletic events or contests with students from other member schools of comparable size and within reasonable geographic proximity may file a complaint stating this concern with the director of the department of education. The complaint is to set forth in a plain and concise manner the reasons the member school believes the director should intervene in conference alignment decisions and the specific relief requested by the member school. The complaint is to be signed by the president of the board of directors of a public school district or a representative of the officials in charge of an accredited nonpublic school. The director or the director’s designee will, within ten days, acknowledge to the member school receipt of the complaint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281—37.3</w:t>
      </w:r>
      <w:r>
        <w:rPr>
          <w:rFonts w:ascii="Times New Roman" w:hAnsi="Times New Roman"/>
          <w:b/>
          <w:i w:val="false"/>
          <w:color w:val="000000"/>
          <w:sz w:val="22"/>
        </w:rPr>
        <w:t xml:space="preserve">(280)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department of education will establish a mediation team consisting of the executive director of the Iowa high school athletic association (hereinafter association) and the executive secretary of the Iowa girls’ high school athletic union (hereinafter union) organizations recognized in </w:t>
      </w:r>
      <w:hyperlink r:id="rId6">
        <w:r>
          <w:rPr>
            <w:rStyle w:val="Hyperlink"/>
            <w:rFonts w:ascii="Times New Roman" w:hAnsi="Times New Roman"/>
            <w:b w:val="false"/>
            <w:i w:val="false"/>
            <w:color w:val="000000"/>
            <w:sz w:val="22"/>
          </w:rPr>
          <w:t>281—Chapter 36</w:t>
        </w:r>
      </w:hyperlink>
      <w:r>
        <w:rPr>
          <w:rFonts w:ascii="Times New Roman" w:hAnsi="Times New Roman"/>
          <w:b w:val="false"/>
          <w:i w:val="false"/>
          <w:color w:val="000000"/>
          <w:sz w:val="22"/>
        </w:rPr>
        <w:t>, or their designees, to meet with the complainant and representatives of other affected member schools. If the complaint involves conference alignment for athletic activities represented by only one of the organizations, only that organization will be involved in the mediation. A copy of all materials filed with the director by the complainant member school will be provided to the mediation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val="false"/>
          <w:color w:val="000000"/>
          <w:sz w:val="22"/>
        </w:rPr>
        <w:t>The mediation team will meet with administrators or board members of schools potentially affected by changes in conference alignment related to the complaint. Schools will send representatives who have knowledge of the impact of a conference realignment and full authority to respond on behalf of their member school. Factors to be weighed in reaching resolution include school enrollment figures (current and projected), travel distances, comparability of instructional programs, traditional rivalries, number of existing and proposed schools in the conference, and comparability of athletic programs and other school-sponsored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281—37.4</w:t>
      </w:r>
      <w:r>
        <w:rPr>
          <w:rFonts w:ascii="Times New Roman" w:hAnsi="Times New Roman"/>
          <w:b/>
          <w:i w:val="false"/>
          <w:color w:val="000000"/>
          <w:sz w:val="22"/>
        </w:rPr>
        <w:t xml:space="preserve">(280) </w:t>
      </w:r>
      <w:r>
        <w:rPr>
          <w:rFonts w:ascii="Times New Roman" w:hAnsi="Times New Roman"/>
          <w:b/>
          <w:i w:val="false"/>
          <w:color w:val="000000"/>
          <w:sz w:val="22"/>
        </w:rPr>
        <w:t xml:space="preserve">Resolution or recommendation of the mediation team. </w:t>
      </w:r>
      <w:r>
        <w:rPr>
          <w:rFonts w:ascii="Times New Roman" w:hAnsi="Times New Roman"/>
          <w:b w:val="false"/>
          <w:i w:val="false"/>
          <w:color w:val="000000"/>
          <w:sz w:val="22"/>
        </w:rPr>
        <w:t>If mediation results in resolution of the complaint, no further action is necessary on the part of the director and the implementation of the mediation agreement will be left with the boards of directors of school districts and the authorities in charge of nonpublic schools. If no resolution is reached within 50 days of the start of the mediation process, the mediation team will make a recommendation to the director as to the best resolution of the complaint. Copies of this recommendation will be given to all affected member schools. The director will establish a time for a hearing on this recommendation within 45 days of the receipt of the mediation team’s recommendation. The director or director’s designee will conduct the hearing, at which time all affected parties will be given the opportunity to provide oral or written testimony or submit other evidence. The director or director’s designee reserves the right to establish time limits on appearances at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281—37.5</w:t>
      </w:r>
      <w:r>
        <w:rPr>
          <w:rFonts w:ascii="Times New Roman" w:hAnsi="Times New Roman"/>
          <w:b/>
          <w:i w:val="false"/>
          <w:color w:val="000000"/>
          <w:sz w:val="22"/>
        </w:rPr>
        <w:t xml:space="preserve">(280) </w:t>
      </w:r>
      <w:r>
        <w:rPr>
          <w:rFonts w:ascii="Times New Roman" w:hAnsi="Times New Roman"/>
          <w:b/>
          <w:i w:val="false"/>
          <w:color w:val="000000"/>
          <w:sz w:val="22"/>
        </w:rPr>
        <w:t xml:space="preserve">Decision;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In reaching a decision on the complaint, the director will consider information gathered by the mediation team and its recommendation as well as the written and oral testimony from the hearing. In addition, the director or the director’s designee may consult with other individuals, organizations, or conference representatives able to provide input on a decision. If a designee of the director conducts the hearing and review process, the findings of the designee shall be reviewed by the director. A final decision on the complaint will be made by the director. The decision may affect conference realignment or direct other appropriate relief to remedy the complaint. The director will make a decision within 60 days of the hearing, and copies of the decision will be provided to all affected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If the decision results in conference realignment, the date of this change shall be made with deference given to existing contracts and commitments. Alignment changes will be made for four-year periods with automatic review by the director after two years so that further necessary changes take effect at the conclusion of the four-year period, unless agreement exists that implementation of the changes can occur at an earlier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ARC 7658C</w:t>
      </w:r>
      <w:r>
        <w:rPr>
          <w:rFonts w:ascii="Times New Roman" w:hAnsi="Times New Roman"/>
          <w:b w:val="false"/>
          <w:i w:val="false"/>
          <w:color w:val="000000"/>
          <w:sz w:val="21"/>
        </w:rPr>
        <w:t xml:space="preserve"> (Notice ARC 7163C,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ac/chapter/281.36.pdf" Type="http://schemas.openxmlformats.org/officeDocument/2006/relationships/hyperlink" Id="rId6"/>
    <Relationship TargetMode="External" Target="https://www.legis.iowa.gov/docs/ico/chapter/280.1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