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NONTRADITIONAL STUDENTS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PRIVATE INSTRUCTION AND DUAL ENROLLMENT</w:t>
      </w:r>
    </w:p>
    <w:p>
      <w:pPr>
        <w:spacing w:before="0" w:after="0"/>
        <w:ind w:left="120"/>
        <w:jc w:val="center"/>
      </w:pPr>
      <w:r>
        <w:rPr>
          <w:rFonts w:ascii="Times New Roman" w:hAnsi="Times New Roman"/>
          <w:b w:val="false"/>
          <w:i w:val="false"/>
          <w:color w:val="000000"/>
          <w:sz w:val="14"/>
        </w:rPr>
        <w:t>[Prior to 9/7/88, see Public Instruction Department[670] Ch 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281—31.1</w:t>
      </w:r>
      <w:r>
        <w:rPr>
          <w:rFonts w:ascii="Times New Roman" w:hAnsi="Times New Roman"/>
          <w:b/>
          <w:i w:val="false"/>
          <w:color w:val="000000"/>
          <w:sz w:val="22"/>
        </w:rPr>
        <w:t xml:space="preserve">(299,299A)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Any parent, guardian, or legal custodian of a child of compulsory attendance age may place the child under competent private instruction or independent private instruction in adherence to all provisions within Iowa Code chapter </w:t>
      </w:r>
      <w:hyperlink r:id="rId5">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This includes any child identified as requiring special education under Iowa Code chapter </w:t>
      </w:r>
      <w:hyperlink r:id="rId6">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If a child’s performance indicates a need for special education, the child will be referred and evaluated as indicated in Iowa Code section </w:t>
      </w:r>
      <w:hyperlink r:id="rId7">
        <w:r>
          <w:rPr>
            <w:rStyle w:val="Hyperlink"/>
            <w:rFonts w:ascii="Times New Roman" w:hAnsi="Times New Roman"/>
            <w:b w:val="false"/>
            <w:i w:val="false"/>
            <w:color w:val="000000"/>
            <w:sz w:val="22"/>
          </w:rPr>
          <w:t>299A.9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281—31.2</w:t>
      </w:r>
      <w:r>
        <w:rPr>
          <w:rFonts w:ascii="Times New Roman" w:hAnsi="Times New Roman"/>
          <w:b/>
          <w:i w:val="false"/>
          <w:color w:val="000000"/>
          <w:sz w:val="22"/>
        </w:rPr>
        <w:t xml:space="preserve">(299,299A)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terms apply as defined in Iowa Code section </w:t>
      </w:r>
      <w:hyperlink r:id="rId8">
        <w:r>
          <w:rPr>
            <w:rStyle w:val="Hyperlink"/>
            <w:rFonts w:ascii="Times New Roman" w:hAnsi="Times New Roman"/>
            <w:b w:val="false"/>
            <w:i w:val="false"/>
            <w:color w:val="000000"/>
            <w:sz w:val="22"/>
          </w:rPr>
          <w:t>299A.1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private instruction.”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instruction.”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term applies as defined in Iowa Code section </w:t>
      </w:r>
      <w:hyperlink r:id="rId9">
        <w:r>
          <w:rPr>
            <w:rStyle w:val="Hyperlink"/>
            <w:rFonts w:ascii="Times New Roman" w:hAnsi="Times New Roman"/>
            <w:b w:val="false"/>
            <w:i w:val="false"/>
            <w:color w:val="000000"/>
            <w:sz w:val="22"/>
          </w:rPr>
          <w:t>299A.6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progress.” </w:t>
      </w:r>
    </w:p>
    <w:p>
      <w:pPr>
        <w:spacing w:before="0" w:after="0"/>
        <w:ind w:left="120"/>
        <w:jc w:val="both"/>
      </w:pPr>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281—31.3</w:t>
      </w:r>
      <w:r>
        <w:rPr>
          <w:rFonts w:ascii="Times New Roman" w:hAnsi="Times New Roman"/>
          <w:b/>
          <w:i w:val="false"/>
          <w:color w:val="000000"/>
          <w:sz w:val="22"/>
        </w:rPr>
        <w:t xml:space="preserve">(299,299A) </w:t>
      </w:r>
      <w:r>
        <w:rPr>
          <w:rFonts w:ascii="Times New Roman" w:hAnsi="Times New Roman"/>
          <w:b/>
          <w:i w:val="false"/>
          <w:color w:val="000000"/>
          <w:sz w:val="22"/>
        </w:rPr>
        <w:t xml:space="preserve">Competent private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By licensed practitioner. </w:t>
      </w:r>
      <w:r>
        <w:rPr>
          <w:rFonts w:ascii="Times New Roman" w:hAnsi="Times New Roman"/>
          <w:b w:val="false"/>
          <w:i w:val="false"/>
          <w:color w:val="000000"/>
          <w:sz w:val="22"/>
        </w:rPr>
        <w:t>Competent private instruction by a licensed practitioner complies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 under this subrule may include a home school assistance program. A home school assistance program is provided by instructional assistance and supervision to a parent, guardian, or legal custodian providing instruction to a child through an accredited nonpublic school or public school district by an appropriately certified or licensed educator.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instruction is provided through a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will be enrolled and included in the basic enrollment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10">
        <w:r>
          <w:rPr>
            <w:rStyle w:val="Hyperlink"/>
            <w:rFonts w:ascii="Times New Roman" w:hAnsi="Times New Roman"/>
            <w:b w:val="false"/>
            <w:i w:val="false"/>
            <w:color w:val="000000"/>
            <w:sz w:val="22"/>
          </w:rPr>
          <w:t>299A.3</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299A.7</w:t>
        </w:r>
      </w:hyperlink>
      <w:r>
        <w:rPr>
          <w:rFonts w:ascii="Times New Roman" w:hAnsi="Times New Roman"/>
          <w:b w:val="false"/>
          <w:i w:val="false"/>
          <w:color w:val="000000"/>
          <w:sz w:val="22"/>
        </w:rPr>
        <w:t xml:space="preserve"> do not apply in this circumstance, with the exception of the reporting provision in Iowa Code section </w:t>
      </w:r>
      <w:hyperlink r:id="rId12">
        <w:r>
          <w:rPr>
            <w:rStyle w:val="Hyperlink"/>
            <w:rFonts w:ascii="Times New Roman" w:hAnsi="Times New Roman"/>
            <w:b w:val="false"/>
            <w:i w:val="false"/>
            <w:color w:val="000000"/>
            <w:sz w:val="22"/>
          </w:rPr>
          <w:t>299A.3(1)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person is a privately retained licensed practitioner (who possesses a valid Iowa teaching certificate or practitioner license, including a substitute teacher’s license or a substitute authorization that is appropriate to the grade level of the student), that practitioner may provide competent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duties of a licensed teacher who instructs or provides instructional supervision of a student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with the student and the student’s parent, guardian, or legal or actual custodian at least twice per 45 days of instruction, during which time the teacher practitioner fulfills the duties described below. One of every two contacts will be face-to-face with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Consulting with and advising the student’s parent, guardian, or legal or actual custodian as requested by the student’s parent, guardian, or legal or actual custodian or as deemed necessary in the professional judgment of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formal and informal assessments of the student’s progress to the student and the student’s parent, guardian, or legal or actual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Annually maintaining a diary, record, or log of visitations and assistance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Referring to the child’s district of residence for evaluation a child who the practitioner has reason to believe may need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licensed Iowa practitioner who is employed under this rule will not serve in that capacity on behalf of more than 25 families, or more than 50 children of compulsory attendance age, in an academic year unless the service is provided pursuant to the teacher’s employment with a nonaccredited nonpublic entity.</w:t>
      </w:r>
    </w:p>
    <w:p>
      <w:pPr>
        <w:spacing w:before="0" w:after="0"/>
        <w:ind w:left="120"/>
        <w:jc w:val="both"/>
      </w:pPr>
      <w:r>
        <w:rPr>
          <w:rFonts w:ascii="Times New Roman" w:hAnsi="Times New Roman"/>
          <w:b w:val="false"/>
          <w:i w:val="false"/>
          <w:color w:val="000000"/>
          <w:sz w:val="22"/>
        </w:rPr>
        <w:t>A licensed practitioner may seek exemption from the above limitation by submitting a written request to the director of the department of education. Exemptions will be granted when the director is satisfied that the limitation will impose a substantial hardship on the person or the school providing instruction or instructional supervision and that the best interests of all children being served by the practitioner will continue to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By parent, guardian, or legal custodian. </w:t>
      </w:r>
      <w:r>
        <w:rPr>
          <w:rFonts w:ascii="Times New Roman" w:hAnsi="Times New Roman"/>
          <w:b w:val="false"/>
          <w:i w:val="false"/>
          <w:color w:val="000000"/>
          <w:sz w:val="22"/>
        </w:rPr>
        <w:t>A parent, guardian, or legal custodian without a current Iowa teaching license providing competent private instruction for any child of compulsory age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report to the school district of residence of the child within 30 days of commencing instruction under this rule, which report demonstrates compliance with Iowa Code chapter </w:t>
      </w:r>
      <w:hyperlink r:id="rId13">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Annually evaluate the child to determine whether the child is making adequate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 the child’s annual evaluation to the school district of residence of the child and to the department of education by August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281—31.4</w:t>
      </w:r>
      <w:r>
        <w:rPr>
          <w:rFonts w:ascii="Times New Roman" w:hAnsi="Times New Roman"/>
          <w:b/>
          <w:i w:val="false"/>
          <w:color w:val="000000"/>
          <w:sz w:val="22"/>
        </w:rPr>
        <w:t xml:space="preserve">(299,299A) </w:t>
      </w:r>
      <w:r>
        <w:rPr>
          <w:rFonts w:ascii="Times New Roman" w:hAnsi="Times New Roman"/>
          <w:b/>
          <w:i w:val="false"/>
          <w:color w:val="000000"/>
          <w:sz w:val="22"/>
        </w:rPr>
        <w:t xml:space="preserve">Annual achievement 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child receiving competent private instruction will be evaluated annually by May 31 through the use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nationally recognized standardized achievement evaluation;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Another assessment tool selected by the child’s parent, guardian, or legal custodian from an approved list provided by the department of education, which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and administration time of listed evaluations,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process to approve new or alternate assessments that meet the provisions of Iowa Code chapter </w:t>
      </w:r>
      <w:hyperlink r:id="rId14">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Duties of educational agencies. </w:t>
      </w:r>
      <w:r>
        <w:rPr>
          <w:rFonts w:ascii="Times New Roman" w:hAnsi="Times New Roman"/>
          <w:b w:val="false"/>
          <w:i w:val="false"/>
          <w:color w:val="000000"/>
          <w:sz w:val="22"/>
        </w:rPr>
        <w:t>The director of the department of education, or the director’s designee, which may include a school district or an area education agency (AEA),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annual evaluations at a time and place determined by the person responsible for conducting the evaluation, which includes but is not limited to purchasing of evaluation materials, giving the evaluations, scoring and interpreting the evaluations, and reporting the evaluation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for the parent, guardian, or legal custodian of the child to be present when the child is evaluated.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color w:val="000000"/>
          <w:sz w:val="22"/>
        </w:rPr>
        <w:t xml:space="preserve">Additional testing. </w:t>
      </w:r>
      <w:r>
        <w:rPr>
          <w:rFonts w:ascii="Times New Roman" w:hAnsi="Times New Roman"/>
          <w:b w:val="false"/>
          <w:i w:val="false"/>
          <w:color w:val="000000"/>
          <w:sz w:val="22"/>
        </w:rPr>
        <w:t>If requested, the school district or AEA will conduct annual evaluations at no cost to the parent, guardian, or legal custodian. Further: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guardian, or legal custodian under competent private instruction is not required to reimburse any of the evaluation costs;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achievement evaluation does not meet dual enrollment purposes under Iowa Code section </w:t>
      </w:r>
      <w:hyperlink r:id="rId15">
        <w:r>
          <w:rPr>
            <w:rStyle w:val="Hyperlink"/>
            <w:rFonts w:ascii="Times New Roman" w:hAnsi="Times New Roman"/>
            <w:b w:val="false"/>
            <w:i w:val="false"/>
            <w:color w:val="000000"/>
            <w:sz w:val="22"/>
          </w:rPr>
          <w:t>299A.8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31.4(4)</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of progress. </w:t>
      </w:r>
      <w:r>
        <w:rPr>
          <w:rFonts w:ascii="Times New Roman" w:hAnsi="Times New Roman"/>
          <w:b w:val="false"/>
          <w:i w:val="false"/>
          <w:color w:val="000000"/>
          <w:sz w:val="22"/>
        </w:rPr>
        <w:t>A parent, guardian, or legal custodian of a child may submit, as evidence of adequate academic progress, completed assessment evaluations, other than the annual achievement evaluation, if assessment evaluations are administered as part of the competent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guardian, or legal or actual custodian of a child subject to the annual assessment requirement may arrange to have an appropriately licensed Iowa practitioner review a portfolio of evidence of the child’s progress annually by May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single evaluator will be designated by the parent, guardian, or legal or actual custodian who has selected the portfolio evaluation option for annual assessment. The evaluator so identified will be approved by the superintendent of the local school district or the superintendent’s designee and will hold a valid Iowa practitioner license or teacher certificate appropriate to the ages and grade levels of the children whose portfolios are being assessed.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portfolio will contain evidence of academic progress in the minimum curriculum areas of reading, language arts, and mathematics if the child is in grades 1 through 5. For children in grades 6 through 12, the portfolio will contain evidence in the minimum curriculum areas of reading, language arts, mathematics, science, and social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subject to annual assessment under this rule who is enrolled as a student of a correspondence school that is a member of an accrediting association recognized by the federal Department of Education and accredited for elementary and secondary education, the district of residence and the department will accept the annual report of progress (report card) sent by the correspondence school to the child’s parent, guardian, or legal or actual custodian if the annual report of progress includes a listing of subjects taken and grades received. A passing grade in all content areas for which annual assessment is required is deemed evidence of adequate progress for the purpose of annual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31.4(5)</w:t>
      </w:r>
      <w:r>
        <w:rPr>
          <w:rFonts w:ascii="Times New Roman" w:hAnsi="Times New Roman"/>
          <w:b w:val="false"/>
          <w:i w:val="false"/>
          <w:color w:val="000000"/>
          <w:sz w:val="22"/>
        </w:rPr>
        <w:t> </w:t>
      </w:r>
      <w:r>
        <w:rPr>
          <w:rFonts w:ascii="Times New Roman" w:hAnsi="Times New Roman"/>
          <w:b w:val="false"/>
          <w:i/>
          <w:color w:val="000000"/>
          <w:sz w:val="22"/>
        </w:rPr>
        <w:t xml:space="preserve">Reporting of evaluation results. </w:t>
      </w:r>
      <w:r>
        <w:rPr>
          <w:rFonts w:ascii="Times New Roman" w:hAnsi="Times New Roman"/>
          <w:b w:val="false"/>
          <w:i w:val="false"/>
          <w:color w:val="000000"/>
          <w:sz w:val="22"/>
        </w:rPr>
        <w:t xml:space="preserve">Evaluation results will be handled pursuant to Iowa Code section </w:t>
      </w:r>
      <w:hyperlink r:id="rId16">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 xml:space="preserve"> and reported by the evaluation administrator to the child’s parent, guardian, or legal custodian; the school district of residence of the child; and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31.4(6)</w:t>
      </w:r>
      <w:r>
        <w:rPr>
          <w:rFonts w:ascii="Times New Roman" w:hAnsi="Times New Roman"/>
          <w:b w:val="false"/>
          <w:i w:val="false"/>
          <w:color w:val="000000"/>
          <w:sz w:val="22"/>
        </w:rPr>
        <w:t> </w:t>
      </w:r>
      <w:r>
        <w:rPr>
          <w:rFonts w:ascii="Times New Roman" w:hAnsi="Times New Roman"/>
          <w:b w:val="false"/>
          <w:i/>
          <w:color w:val="000000"/>
          <w:sz w:val="22"/>
        </w:rPr>
        <w:t xml:space="preserve">Failure to make adequate progress—notice to parents. </w:t>
      </w:r>
      <w:r>
        <w:rPr>
          <w:rFonts w:ascii="Times New Roman" w:hAnsi="Times New Roman"/>
          <w:b w:val="false"/>
          <w:i w:val="false"/>
          <w:color w:val="000000"/>
          <w:sz w:val="22"/>
        </w:rPr>
        <w:t>If annual evaluation results indicate the child has not made adequate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education, or the director’s designee, will notify the parent, guardian, or custodian of the child that the child is required to attend an accredited public or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will attend an accredited public or nonpublic school at the start of the next school year until evaluation results indicate the child has made adequate progress, unless, before the beginning of the next school year, the director or director’s designee grants approval for competent private instruction to continue under a plan for remediation.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31.4(7)</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section requires or prohibits testing in any way other than what is set forth in Iowa Code section </w:t>
      </w:r>
      <w:hyperlink r:id="rId17">
        <w:r>
          <w:rPr>
            <w:rStyle w:val="Hyperlink"/>
            <w:rFonts w:ascii="Times New Roman" w:hAnsi="Times New Roman"/>
            <w:b w:val="false"/>
            <w:i w:val="false"/>
            <w:color w:val="000000"/>
            <w:sz w:val="22"/>
          </w:rPr>
          <w:t>256.7(21)</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guardian, or custodian of students who are receiving independent private instruction are responsible for the cost of annual assessment if requested, through the local school district or AEA.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guardian, or legal or actual custodian of a child subject to this rule and who has a physical or mental disability so significant that the results of a standardized test would not yield relevant results for assessment purposes may request the department’s approval of an alternative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281—31.5</w:t>
      </w:r>
      <w:r>
        <w:rPr>
          <w:rFonts w:ascii="Times New Roman" w:hAnsi="Times New Roman"/>
          <w:b/>
          <w:i w:val="false"/>
          <w:color w:val="000000"/>
          <w:sz w:val="22"/>
        </w:rPr>
        <w:t xml:space="preserve">(299,299A) </w:t>
      </w:r>
      <w:r>
        <w:rPr>
          <w:rFonts w:ascii="Times New Roman" w:hAnsi="Times New Roman"/>
          <w:b/>
          <w:i w:val="false"/>
          <w:color w:val="000000"/>
          <w:sz w:val="22"/>
        </w:rPr>
        <w:t xml:space="preserve">Dual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guardian, or legal custodian submits a request, the child will be registered in a public school for dual enrollment purposes and included in the public school’s basic enrollment under Iowa Code section </w:t>
      </w:r>
      <w:hyperlink r:id="rId18">
        <w:r>
          <w:rPr>
            <w:rStyle w:val="Hyperlink"/>
            <w:rFonts w:ascii="Times New Roman" w:hAnsi="Times New Roman"/>
            <w:b w:val="false"/>
            <w:i w:val="false"/>
            <w:color w:val="000000"/>
            <w:sz w:val="22"/>
          </w:rPr>
          <w:t>257.6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val="false"/>
          <w:color w:val="000000"/>
          <w:sz w:val="22"/>
        </w:rPr>
        <w:t>A child who is dual enrolled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permitted to participate in any academic activities 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permitted to participate in any extracurricular activities on the same basis as any public school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counted under Iowa Code section </w:t>
      </w:r>
      <w:hyperlink r:id="rId19">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child in grades 9 through 12, be counted in the same manner as a shared-time pupil under Iowa Code section </w:t>
      </w:r>
      <w:hyperlink r:id="rId20">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val="false"/>
          <w:color w:val="000000"/>
          <w:sz w:val="22"/>
        </w:rPr>
        <w:t>Enrollment of a child solely for purposes of accessing the annual achievement evaluation does not constitute dual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val="false"/>
          <w:color w:val="000000"/>
          <w:sz w:val="22"/>
        </w:rPr>
        <w:t>A child under competent private instruction will not be able to access all courses except one in a district’s academic schedule.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281—31.6</w:t>
      </w:r>
      <w:r>
        <w:rPr>
          <w:rFonts w:ascii="Times New Roman" w:hAnsi="Times New Roman"/>
          <w:b/>
          <w:i w:val="false"/>
          <w:color w:val="000000"/>
          <w:sz w:val="22"/>
        </w:rPr>
        <w:t xml:space="preserve">(299,299A) </w:t>
      </w:r>
      <w:r>
        <w:rPr>
          <w:rFonts w:ascii="Times New Roman" w:hAnsi="Times New Roman"/>
          <w:b/>
          <w:i w:val="false"/>
          <w:color w:val="000000"/>
          <w:sz w:val="22"/>
        </w:rPr>
        <w:t xml:space="preserve">Home school assistance program. </w:t>
      </w:r>
      <w:r>
        <w:rPr>
          <w:rFonts w:ascii="Times New Roman" w:hAnsi="Times New Roman"/>
          <w:b w:val="false"/>
          <w:i w:val="false"/>
          <w:color w:val="000000"/>
          <w:sz w:val="22"/>
        </w:rPr>
        <w:t xml:space="preserve">The board of directors of a school district will expend funds received pursuant to Iowa Code section </w:t>
      </w:r>
      <w:hyperlink r:id="rId21">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 xml:space="preserve">(5), and amounts designated from the school district’s flexibility account under Iowa Code section </w:t>
      </w:r>
      <w:hyperlink r:id="rId22">
        <w:r>
          <w:rPr>
            <w:rStyle w:val="Hyperlink"/>
            <w:rFonts w:ascii="Times New Roman" w:hAnsi="Times New Roman"/>
            <w:b w:val="false"/>
            <w:i w:val="false"/>
            <w:color w:val="000000"/>
            <w:sz w:val="22"/>
          </w:rPr>
          <w:t>298A.2(2)</w:t>
        </w:r>
      </w:hyperlink>
      <w:r>
        <w:rPr>
          <w:rFonts w:ascii="Times New Roman" w:hAnsi="Times New Roman"/>
          <w:b w:val="false"/>
          <w:i w:val="false"/>
          <w:color w:val="000000"/>
          <w:sz w:val="22"/>
        </w:rPr>
        <w:t xml:space="preserve">, for providing a home school assistance program. Funds will be expended for intended purposes identified in Iowa Code sections </w:t>
      </w:r>
      <w:hyperlink r:id="rId23">
        <w:r>
          <w:rPr>
            <w:rStyle w:val="Hyperlink"/>
            <w:rFonts w:ascii="Times New Roman" w:hAnsi="Times New Roman"/>
            <w:b w:val="false"/>
            <w:i w:val="false"/>
            <w:color w:val="000000"/>
            <w:sz w:val="22"/>
          </w:rPr>
          <w:t>299A.12(2)</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299A.12(4)</w:t>
        </w:r>
      </w:hyperlink>
      <w:r>
        <w:rPr>
          <w:rFonts w:ascii="Times New Roman" w:hAnsi="Times New Roman"/>
          <w:b w:val="false"/>
          <w:i w:val="false"/>
          <w:color w:val="000000"/>
          <w:sz w:val="22"/>
        </w:rPr>
        <w:t>. A district will not employ as a home school assistance program instructor a person who currently holds only a substitute authorization. A home school assistance program teacher will have contact with the student and the student’s parent, guardian, or legal or actual custodian at least four times per 45 days of instruction. One of every two contacts will be face-to-face with the student.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281—31.7</w:t>
      </w:r>
      <w:r>
        <w:rPr>
          <w:rFonts w:ascii="Times New Roman" w:hAnsi="Times New Roman"/>
          <w:b/>
          <w:i w:val="false"/>
          <w:color w:val="000000"/>
          <w:sz w:val="22"/>
        </w:rPr>
        <w:t xml:space="preserve">(299,299A) </w:t>
      </w:r>
      <w:r>
        <w:rPr>
          <w:rFonts w:ascii="Times New Roman" w:hAnsi="Times New Roman"/>
          <w:b/>
          <w:i w:val="false"/>
          <w:color w:val="000000"/>
          <w:sz w:val="22"/>
        </w:rPr>
        <w:t xml:space="preserve">Miscellaneous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w:t>
      </w:r>
      <w:r>
        <w:rPr>
          <w:rFonts w:ascii="Times New Roman" w:hAnsi="Times New Roman"/>
          <w:b w:val="false"/>
          <w:i w:val="false"/>
          <w:color w:val="000000"/>
          <w:sz w:val="22"/>
        </w:rPr>
        <w:t xml:space="preserve">Special education services to students in competent private instruction, including dual enrollment for special education services, are governed by Iowa Code section </w:t>
      </w:r>
      <w:hyperlink r:id="rId25">
        <w:r>
          <w:rPr>
            <w:rStyle w:val="Hyperlink"/>
            <w:rFonts w:ascii="Times New Roman" w:hAnsi="Times New Roman"/>
            <w:b w:val="false"/>
            <w:i w:val="false"/>
            <w:color w:val="000000"/>
            <w:sz w:val="22"/>
          </w:rPr>
          <w:t>299A.9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w:t>
      </w:r>
      <w:r>
        <w:rPr>
          <w:rFonts w:ascii="Times New Roman" w:hAnsi="Times New Roman"/>
          <w:b w:val="false"/>
          <w:i w:val="false"/>
          <w:color w:val="000000"/>
          <w:sz w:val="22"/>
        </w:rPr>
        <w:t xml:space="preserve">Open enrollment for a student under this chapter is governed by Iowa Code section </w:t>
      </w:r>
      <w:hyperlink r:id="rId26">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A receiving district may only bill a resident district if the receiving district complies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31.7(3)</w:t>
      </w:r>
      <w:r>
        <w:rPr>
          <w:rFonts w:ascii="Times New Roman" w:hAnsi="Times New Roman"/>
          <w:b w:val="false"/>
          <w:i w:val="false"/>
          <w:color w:val="000000"/>
          <w:sz w:val="22"/>
        </w:rPr>
        <w:t> </w:t>
      </w:r>
      <w:r>
        <w:rPr>
          <w:rFonts w:ascii="Times New Roman" w:hAnsi="Times New Roman"/>
          <w:b w:val="false"/>
          <w:i/>
          <w:color w:val="000000"/>
          <w:sz w:val="22"/>
        </w:rPr>
        <w:t xml:space="preserve">Instructional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will not make monetary payments, including cash and cash equivalents, or give publicly funded resources, directly or indirectly, to the parent, guardian, or legal or actual custodian or to a child receiving competent private instruction. A school district will not purchase texts or supplementary materials for or on behalf of a child receiving competent private instruction if such texts or supplementary materials are not appropriate for use by regularly enrolled students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district may provide to children receiving competent private instruction available texts or supplementary materials on the same basis as they are provided to enrolled students and will provide available texts or supplemental instructional materials on the same basis as they are provided to enrolled students when a child is under dual enrollment or in a home school assistance program. If a fee, such as a textbook or towel rental fee, is charged to regularly enrolled students for participation in a class or extracurricular activity, that fee may also be charged to dual-enrolled students on the same basis as it is charged to enrolled students, but only for the specific class or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guardian, or legal or actual custodian who provides competent private instruction to a child of compulsory attendance age may access the services and materials available from the AEA by requesting assistance through the school district of residence. The AEA will make services and materials available to the child on the same basis as they are available to regularly enrolled students of the district if the child is dual enrolled or enrolled in a home school assistance program. The district of residence will act as liaison between the parent, guardian, or legal or actual custodian of a child who is receiving competent private instruction and the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31.7(4)</w:t>
      </w:r>
      <w:r>
        <w:rPr>
          <w:rFonts w:ascii="Times New Roman" w:hAnsi="Times New Roman"/>
          <w:b w:val="false"/>
          <w:i w:val="false"/>
          <w:color w:val="000000"/>
          <w:sz w:val="22"/>
        </w:rPr>
        <w:t> </w:t>
      </w:r>
      <w:r>
        <w:rPr>
          <w:rFonts w:ascii="Times New Roman" w:hAnsi="Times New Roman"/>
          <w:b w:val="false"/>
          <w:i/>
          <w:color w:val="000000"/>
          <w:sz w:val="22"/>
        </w:rPr>
        <w:t xml:space="preserve">Driver education. </w:t>
      </w:r>
      <w:r>
        <w:rPr>
          <w:rFonts w:ascii="Times New Roman" w:hAnsi="Times New Roman"/>
          <w:b w:val="false"/>
          <w:i w:val="false"/>
          <w:color w:val="000000"/>
          <w:sz w:val="22"/>
        </w:rPr>
        <w:t xml:space="preserve">The public school district will offer or make available to all resident students, including those receiving private instruction on an equal basis with students enrolled in the district, an approved course in driver education pursuant to Iowa Code section </w:t>
      </w:r>
      <w:hyperlink r:id="rId27">
        <w:r>
          <w:rPr>
            <w:rStyle w:val="Hyperlink"/>
            <w:rFonts w:ascii="Times New Roman" w:hAnsi="Times New Roman"/>
            <w:b w:val="false"/>
            <w:i w:val="false"/>
            <w:color w:val="000000"/>
            <w:sz w:val="22"/>
          </w:rPr>
          <w:t>321.178(1)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31.7(5)</w:t>
      </w:r>
      <w:r>
        <w:rPr>
          <w:rFonts w:ascii="Times New Roman" w:hAnsi="Times New Roman"/>
          <w:b w:val="false"/>
          <w:i w:val="false"/>
          <w:color w:val="000000"/>
          <w:sz w:val="22"/>
        </w:rPr>
        <w:t> </w:t>
      </w:r>
      <w:r>
        <w:rPr>
          <w:rFonts w:ascii="Times New Roman" w:hAnsi="Times New Roman"/>
          <w:b w:val="false"/>
          <w:i/>
          <w:color w:val="000000"/>
          <w:sz w:val="22"/>
        </w:rPr>
        <w:t xml:space="preserve">Private instruction reporting exemption. </w:t>
      </w:r>
      <w:r>
        <w:rPr>
          <w:rFonts w:ascii="Times New Roman" w:hAnsi="Times New Roman"/>
          <w:b w:val="false"/>
          <w:i w:val="false"/>
          <w:color w:val="000000"/>
          <w:sz w:val="22"/>
        </w:rPr>
        <w:t xml:space="preserve">The options provided in subrule </w:t>
      </w:r>
      <w:hyperlink r:id="rId28">
        <w:r>
          <w:rPr>
            <w:rStyle w:val="Hyperlink"/>
            <w:rFonts w:ascii="Times New Roman" w:hAnsi="Times New Roman"/>
            <w:b w:val="false"/>
            <w:i w:val="false"/>
            <w:color w:val="000000"/>
            <w:sz w:val="22"/>
          </w:rPr>
          <w:t>31.3(2)</w:t>
        </w:r>
      </w:hyperlink>
      <w:r>
        <w:rPr>
          <w:rFonts w:ascii="Times New Roman" w:hAnsi="Times New Roman"/>
          <w:b w:val="false"/>
          <w:i w:val="false"/>
          <w:color w:val="000000"/>
          <w:sz w:val="22"/>
        </w:rPr>
        <w:t xml:space="preserve"> are not available to any parent, guardian, or legal or actual custodian who requests services from a school district or AEA under this chapter, including the provision of instructional materials, assistance from a home school assistance program, dual enrollment, open enrollment, or special education services. Parents who elect the reporting option under this subrule and who request testing assistance or an approved course in driver education under subrule </w:t>
      </w:r>
      <w:hyperlink r:id="rId29">
        <w:r>
          <w:rPr>
            <w:rStyle w:val="Hyperlink"/>
            <w:rFonts w:ascii="Times New Roman" w:hAnsi="Times New Roman"/>
            <w:b w:val="false"/>
            <w:i w:val="false"/>
            <w:color w:val="000000"/>
            <w:sz w:val="22"/>
          </w:rPr>
          <w:t>31.7(4)</w:t>
        </w:r>
      </w:hyperlink>
      <w:r>
        <w:rPr>
          <w:rFonts w:ascii="Times New Roman" w:hAnsi="Times New Roman"/>
          <w:b w:val="false"/>
          <w:i w:val="false"/>
          <w:color w:val="000000"/>
          <w:sz w:val="22"/>
        </w:rPr>
        <w:t xml:space="preserve"> need not complete any particular form, but must demonstrate that the child is receiving competent private instruction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31.7(6)</w:t>
      </w:r>
      <w:r>
        <w:rPr>
          <w:rFonts w:ascii="Times New Roman" w:hAnsi="Times New Roman"/>
          <w:b w:val="false"/>
          <w:i w:val="false"/>
          <w:color w:val="000000"/>
          <w:sz w:val="22"/>
        </w:rPr>
        <w:t> </w:t>
      </w:r>
      <w:r>
        <w:rPr>
          <w:rFonts w:ascii="Times New Roman" w:hAnsi="Times New Roman"/>
          <w:b w:val="false"/>
          <w:i/>
          <w:color w:val="000000"/>
          <w:sz w:val="22"/>
        </w:rPr>
        <w:t xml:space="preserve">Independent private instruction—services available. </w:t>
      </w:r>
      <w:r>
        <w:rPr>
          <w:rFonts w:ascii="Times New Roman" w:hAnsi="Times New Roman"/>
          <w:b w:val="false"/>
          <w:i w:val="false"/>
          <w:color w:val="000000"/>
          <w:sz w:val="22"/>
        </w:rPr>
        <w:t xml:space="preserve">For students under independent private instruction, only the following services are available: an approved course in driver education; annual achievement testing under paragraph </w:t>
      </w:r>
      <w:hyperlink r:id="rId30">
        <w:r>
          <w:rPr>
            <w:rStyle w:val="Hyperlink"/>
            <w:rFonts w:ascii="Times New Roman" w:hAnsi="Times New Roman"/>
            <w:b w:val="false"/>
            <w:i w:val="false"/>
            <w:color w:val="000000"/>
            <w:sz w:val="22"/>
          </w:rPr>
          <w:t>31.4(7)</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concurrent enrollment programs, also known as district-to-community college sharing, subject to the terms of Iowa Code section </w:t>
      </w:r>
      <w:hyperlink r:id="rId31">
        <w:r>
          <w:rPr>
            <w:rStyle w:val="Hyperlink"/>
            <w:rFonts w:ascii="Times New Roman" w:hAnsi="Times New Roman"/>
            <w:b w:val="false"/>
            <w:i w:val="false"/>
            <w:color w:val="000000"/>
            <w:sz w:val="22"/>
          </w:rPr>
          <w:t>261E.8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31.7(7)</w:t>
      </w:r>
      <w:r>
        <w:rPr>
          <w:rFonts w:ascii="Times New Roman" w:hAnsi="Times New Roman"/>
          <w:b w:val="false"/>
          <w:i w:val="false"/>
          <w:color w:val="000000"/>
          <w:sz w:val="22"/>
        </w:rPr>
        <w:t> </w:t>
      </w:r>
      <w:r>
        <w:rPr>
          <w:rFonts w:ascii="Times New Roman" w:hAnsi="Times New Roman"/>
          <w:b w:val="false"/>
          <w:i/>
          <w:color w:val="000000"/>
          <w:sz w:val="22"/>
        </w:rPr>
        <w:t xml:space="preserve">Student records confidential. </w:t>
      </w:r>
      <w:r>
        <w:rPr>
          <w:rFonts w:ascii="Times New Roman" w:hAnsi="Times New Roman"/>
          <w:b w:val="false"/>
          <w:i w:val="false"/>
          <w:color w:val="000000"/>
          <w:sz w:val="22"/>
        </w:rPr>
        <w:t xml:space="preserve">Personal information in records pursuant to this chapter will be kept confidential in compliance with district student directory policy in accordance with Iowa Code section </w:t>
      </w:r>
      <w:hyperlink r:id="rId32">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299</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7/12/85—published 7/31/85, effective 7/15/85]</w:t>
      </w:r>
    </w:p>
    <w:p>
      <w:pPr>
        <w:spacing w:before="0" w:after="0"/>
        <w:ind w:left="120"/>
        <w:jc w:val="center"/>
      </w:pPr>
      <w:r>
        <w:rPr>
          <w:rFonts w:ascii="Times New Roman" w:hAnsi="Times New Roman"/>
          <w:b w:val="false"/>
          <w:i w:val="false"/>
          <w:color w:val="000000"/>
          <w:sz w:val="21"/>
        </w:rPr>
        <w:t>[Filed 12/13/85, Notice 7/31/85—published 1/1/86, effective 2/6/86]</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4/10/92, Notice 2/5/92—published 4/29/92, effective 6/3/92]</w:t>
      </w:r>
    </w:p>
    <w:p>
      <w:pPr>
        <w:spacing w:before="0" w:after="0"/>
        <w:ind w:left="120"/>
        <w:jc w:val="center"/>
      </w:pPr>
      <w:r>
        <w:rPr>
          <w:rFonts w:ascii="Times New Roman" w:hAnsi="Times New Roman"/>
          <w:b w:val="false"/>
          <w:i w:val="false"/>
          <w:color w:val="000000"/>
          <w:sz w:val="21"/>
        </w:rPr>
        <w:t>[Filed 1/18/94, Notice 10/27/93—published 2/2/94, effective 3/18/94]</w:t>
      </w:r>
    </w:p>
    <w:p>
      <w:pPr>
        <w:spacing w:before="0" w:after="0"/>
        <w:ind w:left="120"/>
        <w:jc w:val="center"/>
      </w:pPr>
      <w:r>
        <w:rPr>
          <w:rFonts w:ascii="Times New Roman" w:hAnsi="Times New Roman"/>
          <w:b w:val="false"/>
          <w:i w:val="false"/>
          <w:color w:val="000000"/>
          <w:sz w:val="21"/>
        </w:rPr>
        <w:t>[Filed 1/12/96, Notice 9/13/95—published 1/31/96, effective 3/6/96]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1246C</w:t>
      </w:r>
      <w:r>
        <w:rPr>
          <w:rFonts w:ascii="Times New Roman" w:hAnsi="Times New Roman"/>
          <w:b w:val="false"/>
          <w:i w:val="false"/>
          <w:color w:val="000000"/>
          <w:sz w:val="21"/>
        </w:rPr>
        <w:t xml:space="preserve"> (Notice ARC 1126C,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5868C</w:t>
      </w:r>
      <w:r>
        <w:rPr>
          <w:rFonts w:ascii="Times New Roman" w:hAnsi="Times New Roman"/>
          <w:b w:val="false"/>
          <w:i w:val="false"/>
          <w:color w:val="000000"/>
          <w:sz w:val="21"/>
        </w:rPr>
        <w:t xml:space="preserve"> (Notice ARC 5738C, IAB 6/30/21)</w:t>
      </w:r>
      <w:r>
        <w:rPr>
          <w:rFonts w:ascii="Times New Roman" w:hAnsi="Times New Roman"/>
          <w:b w:val="false"/>
          <w:i w:val="false"/>
          <w:color w:val="000000"/>
          <w:sz w:val="21"/>
        </w:rPr>
        <w:t>, IAB 8/25/21, effective 9/29/21]</w:t>
      </w:r>
      <w:r>
        <w:br/>
      </w:r>
      <w:r>
        <w:rPr>
          <w:rFonts w:ascii="Times New Roman" w:hAnsi="Times New Roman"/>
          <w:b w:val="false"/>
          <w:i w:val="false"/>
          <w:color w:val="000000"/>
          <w:sz w:val="21"/>
        </w:rPr>
        <w:t>[Filed ARC 5870C</w:t>
      </w:r>
      <w:r>
        <w:rPr>
          <w:rFonts w:ascii="Times New Roman" w:hAnsi="Times New Roman"/>
          <w:b w:val="false"/>
          <w:i w:val="false"/>
          <w:color w:val="000000"/>
          <w:sz w:val="21"/>
        </w:rPr>
        <w:t xml:space="preserve"> (Notice ARC 5664C,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8049C</w:t>
      </w:r>
      <w:r>
        <w:rPr>
          <w:rFonts w:ascii="Times New Roman" w:hAnsi="Times New Roman"/>
          <w:b w:val="false"/>
          <w:i w:val="false"/>
          <w:color w:val="000000"/>
          <w:sz w:val="21"/>
        </w:rPr>
        <w:t xml:space="preserve"> (Notice ARC 7587C, IAB 2/7/24)</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9A.pdf" Type="http://schemas.openxmlformats.org/officeDocument/2006/relationships/hyperlink" Id="rId5"/>
    <Relationship TargetMode="External" Target="https://www.legis.iowa.gov/docs/ico/chapter/256B.pdf" Type="http://schemas.openxmlformats.org/officeDocument/2006/relationships/hyperlink" Id="rId6"/>
    <Relationship TargetMode="External" Target="https://www.legis.iowa.gov/docs/ico/chapter/299A.9.pdf" Type="http://schemas.openxmlformats.org/officeDocument/2006/relationships/hyperlink" Id="rId7"/>
    <Relationship TargetMode="External" Target="https://www.legis.iowa.gov/docs/ico/chapter/299A.1.pdf" Type="http://schemas.openxmlformats.org/officeDocument/2006/relationships/hyperlink" Id="rId8"/>
    <Relationship TargetMode="External" Target="https://www.legis.iowa.gov/docs/ico/chapter/299A.6.pdf" Type="http://schemas.openxmlformats.org/officeDocument/2006/relationships/hyperlink" Id="rId9"/>
    <Relationship TargetMode="External" Target="https://www.legis.iowa.gov/docs/ico/chapter/299A.3.pdf" Type="http://schemas.openxmlformats.org/officeDocument/2006/relationships/hyperlink" Id="rId10"/>
    <Relationship TargetMode="External" Target="https://www.legis.iowa.gov/docs/ico/chapter/299A.7.pdf" Type="http://schemas.openxmlformats.org/officeDocument/2006/relationships/hyperlink" Id="rId11"/>
    <Relationship TargetMode="External" Target="https://www.legis.iowa.gov/docs/ico/chapter/299A.3.pdf" Type="http://schemas.openxmlformats.org/officeDocument/2006/relationships/hyperlink" Id="rId12"/>
    <Relationship TargetMode="External" Target="https://www.legis.iowa.gov/docs/ico/chapter/299A.pdf" Type="http://schemas.openxmlformats.org/officeDocument/2006/relationships/hyperlink" Id="rId13"/>
    <Relationship TargetMode="External" Target="https://www.legis.iowa.gov/docs/ico/chapter/299A.pdf" Type="http://schemas.openxmlformats.org/officeDocument/2006/relationships/hyperlink" Id="rId14"/>
    <Relationship TargetMode="External" Target="https://www.legis.iowa.gov/docs/ico/chapter/299A.8.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56.7.pdf" Type="http://schemas.openxmlformats.org/officeDocument/2006/relationships/hyperlink" Id="rId17"/>
    <Relationship TargetMode="External" Target="https://www.legis.iowa.gov/docs/ico/chapter/257.6.pdf" Type="http://schemas.openxmlformats.org/officeDocument/2006/relationships/hyperlink" Id="rId18"/>
    <Relationship TargetMode="External" Target="https://www.legis.iowa.gov/docs/ico/chapter/257.6.pdf" Type="http://schemas.openxmlformats.org/officeDocument/2006/relationships/hyperlink" Id="rId19"/>
    <Relationship TargetMode="External" Target="https://www.legis.iowa.gov/docs/ico/chapter/257.6.pdf" Type="http://schemas.openxmlformats.org/officeDocument/2006/relationships/hyperlink" Id="rId20"/>
    <Relationship TargetMode="External" Target="https://www.legis.iowa.gov/docs/ico/chapter/257.6.pdf" Type="http://schemas.openxmlformats.org/officeDocument/2006/relationships/hyperlink" Id="rId21"/>
    <Relationship TargetMode="External" Target="https://www.legis.iowa.gov/docs/ico/chapter/298A.2.pdf" Type="http://schemas.openxmlformats.org/officeDocument/2006/relationships/hyperlink" Id="rId22"/>
    <Relationship TargetMode="External" Target="https://www.legis.iowa.gov/docs/ico/chapter/299A.12.pdf" Type="http://schemas.openxmlformats.org/officeDocument/2006/relationships/hyperlink" Id="rId23"/>
    <Relationship TargetMode="External" Target="https://www.legis.iowa.gov/docs/ico/chapter/299A.12.pdf" Type="http://schemas.openxmlformats.org/officeDocument/2006/relationships/hyperlink" Id="rId24"/>
    <Relationship TargetMode="External" Target="https://www.legis.iowa.gov/docs/ico/chapter/299A.9.pdf" Type="http://schemas.openxmlformats.org/officeDocument/2006/relationships/hyperlink" Id="rId25"/>
    <Relationship TargetMode="External" Target="https://www.legis.iowa.gov/docs/ico/chapter/282.18.pdf" Type="http://schemas.openxmlformats.org/officeDocument/2006/relationships/hyperlink" Id="rId26"/>
    <Relationship TargetMode="External" Target="https://www.legis.iowa.gov/docs/ico/chapter/321.178.pdf" Type="http://schemas.openxmlformats.org/officeDocument/2006/relationships/hyperlink" Id="rId27"/>
    <Relationship TargetMode="External" Target="https://www.legis.iowa.gov/docs/iac/rule/281.31.3.pdf" Type="http://schemas.openxmlformats.org/officeDocument/2006/relationships/hyperlink" Id="rId28"/>
    <Relationship TargetMode="External" Target="https://www.legis.iowa.gov/docs/iac/rule/281.31.7.pdf" Type="http://schemas.openxmlformats.org/officeDocument/2006/relationships/hyperlink" Id="rId29"/>
    <Relationship TargetMode="External" Target="https://www.legis.iowa.gov/docs/iac/rule/281.31.4.pdf" Type="http://schemas.openxmlformats.org/officeDocument/2006/relationships/hyperlink" Id="rId30"/>
    <Relationship TargetMode="External" Target="https://www.legis.iowa.gov/docs/ico/chapter/261E.8.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299.pdf" Type="http://schemas.openxmlformats.org/officeDocument/2006/relationships/hyperlink" Id="rId33"/>
    <Relationship TargetMode="External" Target="https://www.legis.iowa.gov/docs/ico/chapter/299A.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