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 xml:space="preserve">AGENCY PROCEDURE FOR RULEMAKING </w:t>
      </w:r>
      <w:r>
        <w:br/>
      </w:r>
      <w:r>
        <w:rPr>
          <w:rFonts w:ascii="Times New Roman" w:hAnsi="Times New Roman"/>
          <w:b w:val="false"/>
          <w:i w:val="false"/>
          <w:color w:val="000000"/>
          <w:sz w:val="21"/>
        </w:rPr>
        <w:t>AND PETITIONS FOR RULEMAKING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281—2.1</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Iowa department of education (department) and the Iowa state board of education incorporate by this reference all such matters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deal with rulemaking or petitions for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7425C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Petitions for rulemaking and inquiries about department rules and the rulemaking process may be directed to Legal Consultant, Iowa Department of Education, Grimes State Office Building, 400 East 14th Street, Des Moines, Iowa 50319-0146.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Comments on proposed rules. </w:t>
      </w:r>
      <w:r>
        <w:rPr>
          <w:rFonts w:ascii="Times New Roman" w:hAnsi="Times New Roman"/>
          <w:b w:val="false"/>
          <w:i w:val="false"/>
          <w:color w:val="000000"/>
          <w:sz w:val="22"/>
        </w:rPr>
        <w:t>Any public comment on a Notice of Intended Action or similar document may be directed to Legal Consultant, Iowa Department of Education, Grimes State Office Building, 400 East 14th Street, Des Moines, Iowa 50319-0146, or as directed in the Notice of Intended Action or similar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Petitions for rulemaking. </w:t>
      </w:r>
      <w:r>
        <w:rPr>
          <w:rFonts w:ascii="Times New Roman" w:hAnsi="Times New Roman"/>
          <w:b w:val="false"/>
          <w:i w:val="false"/>
          <w:color w:val="000000"/>
          <w:sz w:val="22"/>
        </w:rPr>
        <w:t>A petition for rulemaking that substantially conforms to the following form will be considered by the department:</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EDUCATION</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Adoption/Amendment/Repeal of (Cite rule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RULEMAKING</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7425C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281—2.3</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submissions. </w:t>
      </w:r>
      <w:r>
        <w:rPr>
          <w:rFonts w:ascii="Times New Roman" w:hAnsi="Times New Roman"/>
          <w:b w:val="false"/>
          <w:i w:val="false"/>
          <w:color w:val="000000"/>
          <w:sz w:val="22"/>
        </w:rPr>
        <w:t>The department encourages electronic submissions of documents under this chapter, including documents bearing electronic signatures. More information is available in the administrative rules content on the department’s website (</w:t>
      </w:r>
      <w:hyperlink r:id="rId6">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7425C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3/11/94, Notice 12/8/93—published 3/30/94, effective 5/4/94]</w:t>
      </w:r>
    </w:p>
    <w:p>
      <w:pPr>
        <w:spacing w:before="0" w:after="0"/>
        <w:ind w:left="120"/>
        <w:jc w:val="center"/>
      </w:pPr>
      <w:r>
        <w:rPr>
          <w:rFonts w:ascii="Times New Roman" w:hAnsi="Times New Roman"/>
          <w:b w:val="false"/>
          <w:i w:val="false"/>
          <w:color w:val="000000"/>
          <w:sz w:val="21"/>
        </w:rPr>
        <w:t>[Filed 4/13/99, Notice 3/10/99—published 5/5/99, effective 6/9/99]</w:t>
      </w:r>
    </w:p>
    <w:p>
      <w:pPr>
        <w:spacing w:before="0" w:after="0"/>
        <w:ind w:left="120"/>
        <w:jc w:val="center"/>
      </w:pPr>
      <w:r>
        <w:rPr>
          <w:rFonts w:ascii="Times New Roman" w:hAnsi="Times New Roman"/>
          <w:b w:val="false"/>
          <w:i w:val="false"/>
          <w:color w:val="000000"/>
          <w:sz w:val="21"/>
        </w:rPr>
        <w:t>[Filed 4/20/05, Notice 2/16/05—published 5/11/05, effective 6/15/05]</w:t>
      </w:r>
    </w:p>
    <w:p>
      <w:pPr>
        <w:spacing w:before="0" w:after="0"/>
        <w:ind w:left="120"/>
        <w:jc w:val="center"/>
      </w:pPr>
      <w:r>
        <w:rPr>
          <w:rFonts w:ascii="Times New Roman" w:hAnsi="Times New Roman"/>
          <w:b w:val="false"/>
          <w:i w:val="false"/>
          <w:color w:val="000000"/>
          <w:sz w:val="21"/>
        </w:rPr>
        <w:t>[Filed ARC 5646C</w:t>
      </w:r>
      <w:r>
        <w:rPr>
          <w:rFonts w:ascii="Times New Roman" w:hAnsi="Times New Roman"/>
          <w:b w:val="false"/>
          <w:i w:val="false"/>
          <w:color w:val="000000"/>
          <w:sz w:val="21"/>
        </w:rPr>
        <w:t xml:space="preserve"> (Notice ARC 5466C,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7425C</w:t>
      </w:r>
      <w:r>
        <w:rPr>
          <w:rFonts w:ascii="Times New Roman" w:hAnsi="Times New Roman"/>
          <w:b w:val="false"/>
          <w:i w:val="false"/>
          <w:color w:val="000000"/>
          <w:sz w:val="21"/>
        </w:rPr>
        <w:t xml:space="preserve"> (Notice ARC 7083C,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educateiowa.gov" Type="http://schemas.openxmlformats.org/officeDocument/2006/relationships/hyperlink" Id="rId6"/>
    <Relationship TargetMode="External" Target="https://www.legis.iowa.gov/docs/ico/chapter/256.7.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