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WAIVER OF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27—8.1</w:t>
      </w:r>
      <w:r>
        <w:rPr>
          <w:rFonts w:ascii="Times New Roman" w:hAnsi="Times New Roman"/>
          <w:b/>
          <w:i w:val="false"/>
          <w:color w:val="000000"/>
          <w:sz w:val="22"/>
        </w:rPr>
        <w:t xml:space="preserve">(17A,161A)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a “waiver” means action by the division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5725C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27—8.2</w:t>
      </w:r>
      <w:r>
        <w:rPr>
          <w:rFonts w:ascii="Times New Roman" w:hAnsi="Times New Roman"/>
          <w:b/>
          <w:i w:val="false"/>
          <w:color w:val="000000"/>
          <w:sz w:val="22"/>
        </w:rPr>
        <w:t xml:space="preserve">(17A,161A)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division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27—8.3</w:t>
      </w:r>
      <w:r>
        <w:rPr>
          <w:rFonts w:ascii="Times New Roman" w:hAnsi="Times New Roman"/>
          <w:b/>
          <w:i w:val="false"/>
          <w:color w:val="000000"/>
          <w:sz w:val="22"/>
        </w:rPr>
        <w:t xml:space="preserve">(17A,161A)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division may grant a waiver from a rule only if the division has jurisdiction over the rule and the requested waiver is consistent with applicable statutes, constitutional provisions, or other provisions of law. The division may not waive requirements created or duties imposed by statute.</w:t>
      </w:r>
    </w:p>
    <w:p>
      <w:pPr>
        <w:spacing w:before="0" w:after="0"/>
        <w:ind w:left="120"/>
        <w:jc w:val="both"/>
      </w:pPr>
      <w:r>
        <w:rPr>
          <w:rFonts w:ascii="Times New Roman" w:hAnsi="Times New Roman"/>
          <w:b/>
          <w:i w:val="false"/>
          <w:color w:val="000000"/>
          <w:sz w:val="22"/>
        </w:rPr>
        <w:t>27—8.4</w:t>
      </w:r>
      <w:r>
        <w:rPr>
          <w:rFonts w:ascii="Times New Roman" w:hAnsi="Times New Roman"/>
          <w:b/>
          <w:i w:val="false"/>
          <w:color w:val="000000"/>
          <w:sz w:val="22"/>
        </w:rPr>
        <w:t xml:space="preserve">(17A,161A)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27—8.6</w:t>
        </w:r>
      </w:hyperlink>
      <w:r>
        <w:rPr>
          <w:rFonts w:ascii="Times New Roman" w:hAnsi="Times New Roman"/>
          <w:b w:val="false"/>
          <w:i w:val="false"/>
          <w:color w:val="000000"/>
          <w:sz w:val="22"/>
        </w:rPr>
        <w:t>(17A,161A), the division may in its sole discretion issue an order waiving in whole or in part the requirements of a rule if the division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5725C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27—8.5</w:t>
      </w:r>
      <w:r>
        <w:rPr>
          <w:rFonts w:ascii="Times New Roman" w:hAnsi="Times New Roman"/>
          <w:b/>
          <w:i w:val="false"/>
          <w:color w:val="000000"/>
          <w:sz w:val="22"/>
        </w:rPr>
        <w:t xml:space="preserve">(17A,161A)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division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bureau chief of the bureau administering the rule from which the waiver is sought.</w:t>
      </w:r>
    </w:p>
    <w:p>
      <w:pPr>
        <w:spacing w:before="0" w:after="0"/>
        <w:ind w:left="120"/>
        <w:jc w:val="both"/>
      </w:pPr>
      <w:r>
        <w:rPr>
          <w:rFonts w:ascii="Times New Roman" w:hAnsi="Times New Roman"/>
          <w:b/>
          <w:i w:val="false"/>
          <w:color w:val="000000"/>
          <w:sz w:val="22"/>
        </w:rPr>
        <w:t>27—8.6</w:t>
      </w:r>
      <w:r>
        <w:rPr>
          <w:rFonts w:ascii="Times New Roman" w:hAnsi="Times New Roman"/>
          <w:b/>
          <w:i w:val="false"/>
          <w:color w:val="000000"/>
          <w:sz w:val="22"/>
        </w:rPr>
        <w:t xml:space="preserve">(17A,161A)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6">
        <w:r>
          <w:rPr>
            <w:rStyle w:val="Hyperlink"/>
            <w:rFonts w:ascii="Times New Roman" w:hAnsi="Times New Roman"/>
            <w:b w:val="false"/>
            <w:i w:val="false"/>
            <w:color w:val="000000"/>
            <w:sz w:val="22"/>
          </w:rPr>
          <w:t>27—8.4</w:t>
        </w:r>
      </w:hyperlink>
      <w:r>
        <w:rPr>
          <w:rFonts w:ascii="Times New Roman" w:hAnsi="Times New Roman"/>
          <w:b w:val="false"/>
          <w:i w:val="false"/>
          <w:color w:val="000000"/>
          <w:sz w:val="22"/>
        </w:rPr>
        <w:t>(17A,161A).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division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division’s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division with information relevant to the waiver.</w:t>
      </w:r>
    </w:p>
    <w:p>
      <w:pPr>
        <w:spacing w:before="210" w:after="0"/>
        <w:ind w:left="120"/>
        <w:jc w:val="both"/>
      </w:pPr>
      <w:r>
        <w:rPr>
          <w:rFonts w:ascii="Times New Roman" w:hAnsi="Times New Roman"/>
          <w:b/>
          <w:i w:val="false"/>
          <w:color w:val="000000"/>
          <w:sz w:val="22"/>
        </w:rPr>
        <w:t>27—8.7</w:t>
      </w:r>
      <w:r>
        <w:rPr>
          <w:rFonts w:ascii="Times New Roman" w:hAnsi="Times New Roman"/>
          <w:b/>
          <w:i w:val="false"/>
          <w:color w:val="000000"/>
          <w:sz w:val="22"/>
        </w:rPr>
        <w:t xml:space="preserve">(17A,161A)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division may request additional information from the petitioner relative to the petition and surrounding circumstances. If the petition was not filed in a contested case, the division may, on its own motion or at the petitioner’s request, schedule a telephonic or in-person meeting between the petitioner and the division.</w:t>
      </w:r>
    </w:p>
    <w:p>
      <w:pPr>
        <w:spacing w:before="210" w:after="0"/>
        <w:ind w:left="120"/>
        <w:jc w:val="both"/>
      </w:pPr>
      <w:r>
        <w:rPr>
          <w:rFonts w:ascii="Times New Roman" w:hAnsi="Times New Roman"/>
          <w:b/>
          <w:i w:val="false"/>
          <w:color w:val="000000"/>
          <w:sz w:val="22"/>
        </w:rPr>
        <w:t>27—8.8</w:t>
      </w:r>
      <w:r>
        <w:rPr>
          <w:rFonts w:ascii="Times New Roman" w:hAnsi="Times New Roman"/>
          <w:b/>
          <w:i w:val="false"/>
          <w:color w:val="000000"/>
          <w:sz w:val="22"/>
        </w:rPr>
        <w:t xml:space="preserve">(17A,161A) </w:t>
      </w:r>
      <w:r>
        <w:rPr>
          <w:rFonts w:ascii="Times New Roman" w:hAnsi="Times New Roman"/>
          <w:b/>
          <w:i w:val="false"/>
          <w:color w:val="000000"/>
          <w:sz w:val="22"/>
        </w:rPr>
        <w:t xml:space="preserve">Notice. </w:t>
      </w:r>
      <w:r>
        <w:rPr>
          <w:rFonts w:ascii="Times New Roman" w:hAnsi="Times New Roman"/>
          <w:b w:val="false"/>
          <w:i w:val="false"/>
          <w:color w:val="000000"/>
          <w:sz w:val="22"/>
        </w:rPr>
        <w:t>The division shall acknowledge a petition upon receipt. The division shall ensure that, within 30 days of the receipt of the petition, notice of the pendency of the petition and a concise summary of its contents have been provided to all persons to whom notice is required by any provision of law. In addition, the division may give notice to other persons. To accomplish this notice provision, the division may require the petitioner to serve the notice on all persons to whom notice is required by any provision of law and provide a written statement to the division attesting that notice has been provided.</w:t>
      </w:r>
    </w:p>
    <w:p>
      <w:pPr>
        <w:spacing w:before="210" w:after="0"/>
        <w:ind w:left="120"/>
        <w:jc w:val="both"/>
      </w:pPr>
      <w:r>
        <w:rPr>
          <w:rFonts w:ascii="Times New Roman" w:hAnsi="Times New Roman"/>
          <w:b/>
          <w:i w:val="false"/>
          <w:color w:val="000000"/>
          <w:sz w:val="22"/>
        </w:rPr>
        <w:t>27—8.9</w:t>
      </w:r>
      <w:r>
        <w:rPr>
          <w:rFonts w:ascii="Times New Roman" w:hAnsi="Times New Roman"/>
          <w:b/>
          <w:i w:val="false"/>
          <w:color w:val="000000"/>
          <w:sz w:val="22"/>
        </w:rPr>
        <w:t xml:space="preserve">(17A,161A)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division so provides by rule or order or is required to do so by statute.</w:t>
      </w:r>
    </w:p>
    <w:p>
      <w:pPr>
        <w:spacing w:before="0" w:after="0"/>
        <w:ind w:left="120"/>
        <w:jc w:val="both"/>
      </w:pPr>
      <w:r>
        <w:rPr>
          <w:rFonts w:ascii="Times New Roman" w:hAnsi="Times New Roman"/>
          <w:b/>
          <w:i w:val="false"/>
          <w:color w:val="000000"/>
          <w:sz w:val="22"/>
        </w:rPr>
        <w:t>27—8.10</w:t>
      </w:r>
      <w:r>
        <w:rPr>
          <w:rFonts w:ascii="Times New Roman" w:hAnsi="Times New Roman"/>
          <w:b/>
          <w:i w:val="false"/>
          <w:color w:val="000000"/>
          <w:sz w:val="22"/>
        </w:rPr>
        <w:t xml:space="preserve">(17A,161A)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color w:val="000000"/>
          <w:sz w:val="22"/>
        </w:rPr>
        <w:t xml:space="preserve">Division discretion. </w:t>
      </w:r>
      <w:r>
        <w:rPr>
          <w:rFonts w:ascii="Times New Roman" w:hAnsi="Times New Roman"/>
          <w:b w:val="false"/>
          <w:i w:val="false"/>
          <w:color w:val="000000"/>
          <w:sz w:val="22"/>
        </w:rPr>
        <w:t>The final decision on whether the circumstances justify the granting of a waiver shall be made at the sole discretion of the division, upon consideration of all relevant factors. Each petition for a waiver shall be evaluated by the division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division should exercise its discretion to grant a waiver from a division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division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division may place any condition on a waiver that the division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division, a waiver may be renewed if the division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division shall grant or deny a petition for a waiver as soon as practicable but, in any event, shall do so within 120 days of its receipt unless the petitioner agrees to a later date. However, if a petition is filed in a contested case, the division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division to grant or deny a petition within the required time period shall be deemed a denial of that petition by the division. However, the division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27—8.11</w:t>
      </w:r>
      <w:r>
        <w:rPr>
          <w:rFonts w:ascii="Times New Roman" w:hAnsi="Times New Roman"/>
          <w:b/>
          <w:i w:val="false"/>
          <w:color w:val="000000"/>
          <w:sz w:val="22"/>
        </w:rPr>
        <w:t xml:space="preserve">(17A,161A)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division is authorized or required to keep confidential. The division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27—8.12</w:t>
      </w:r>
      <w:r>
        <w:rPr>
          <w:rFonts w:ascii="Times New Roman" w:hAnsi="Times New Roman"/>
          <w:b/>
          <w:i w:val="false"/>
          <w:color w:val="000000"/>
          <w:sz w:val="22"/>
        </w:rPr>
        <w:t xml:space="preserve">(17A,161A)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division shall make a submission on the Internet site established pursuant to Iowa Code section 17A.9A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division’s actions on waiver requests. If practicable, the report shall detail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5725C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27—8.13</w:t>
      </w:r>
      <w:r>
        <w:rPr>
          <w:rFonts w:ascii="Times New Roman" w:hAnsi="Times New Roman"/>
          <w:b/>
          <w:i w:val="false"/>
          <w:color w:val="000000"/>
          <w:sz w:val="22"/>
        </w:rPr>
        <w:t xml:space="preserve">(17A,161A)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division pursuant to this chapter may be withdrawn, canceled, or modified if, after appropriate notice and hearing, the division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alternative means for ensuring that the public health, safety and welfare will be adequately protected after issuance of the waiver order have been demonstrated to be insufficient; or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27—8.14</w:t>
      </w:r>
      <w:r>
        <w:rPr>
          <w:rFonts w:ascii="Times New Roman" w:hAnsi="Times New Roman"/>
          <w:b/>
          <w:i w:val="false"/>
          <w:color w:val="000000"/>
          <w:sz w:val="22"/>
        </w:rPr>
        <w:t xml:space="preserve">(17A,161A)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27—8.15</w:t>
      </w:r>
      <w:r>
        <w:rPr>
          <w:rFonts w:ascii="Times New Roman" w:hAnsi="Times New Roman"/>
          <w:b/>
          <w:i w:val="false"/>
          <w:color w:val="000000"/>
          <w:sz w:val="22"/>
        </w:rPr>
        <w:t xml:space="preserve">(17A,161A)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division issues an order granting a waiver,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27—8.16</w:t>
      </w:r>
      <w:r>
        <w:rPr>
          <w:rFonts w:ascii="Times New Roman" w:hAnsi="Times New Roman"/>
          <w:b/>
          <w:i w:val="false"/>
          <w:color w:val="000000"/>
          <w:sz w:val="22"/>
        </w:rPr>
        <w:t xml:space="preserve">(17A,161A)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division’s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5/10/01, Notice 4/4/01—published 5/30/01, effective 7/6/01]</w:t>
      </w:r>
    </w:p>
    <w:p>
      <w:pPr>
        <w:spacing w:before="0" w:after="0"/>
        <w:ind w:left="120"/>
        <w:jc w:val="center"/>
      </w:pPr>
      <w:r>
        <w:rPr>
          <w:rFonts w:ascii="Times New Roman" w:hAnsi="Times New Roman"/>
          <w:b w:val="false"/>
          <w:i w:val="false"/>
          <w:color w:val="000000"/>
          <w:sz w:val="21"/>
        </w:rPr>
        <w:t>[Filed ARC 5725C</w:t>
      </w:r>
      <w:r>
        <w:rPr>
          <w:rFonts w:ascii="Times New Roman" w:hAnsi="Times New Roman"/>
          <w:b w:val="false"/>
          <w:i w:val="false"/>
          <w:color w:val="000000"/>
          <w:sz w:val="21"/>
        </w:rPr>
        <w:t xml:space="preserve"> (Notice ARC 5576C, IAB 4/21/21)</w:t>
      </w:r>
      <w:r>
        <w:rPr>
          <w:rFonts w:ascii="Times New Roman" w:hAnsi="Times New Roman"/>
          <w:b w:val="false"/>
          <w:i w:val="false"/>
          <w:color w:val="000000"/>
          <w:sz w:val="21"/>
        </w:rPr>
        <w:t>, IAB 6/30/21, effective 8/4/21]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7.8.6.pdf" Type="http://schemas.openxmlformats.org/officeDocument/2006/relationships/hyperlink" Id="rId5"/>
    <Relationship TargetMode="External" Target="https://www.legis.iowa.gov/docs/iac/rule/27.8.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61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