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w:t>
      </w:r>
    </w:p>
    <w:p>
      <w:pPr>
        <w:spacing w:before="0" w:after="0"/>
        <w:ind w:left="120"/>
        <w:jc w:val="center"/>
      </w:pPr>
      <w:r>
        <w:rPr>
          <w:rFonts w:ascii="Times New Roman" w:hAnsi="Times New Roman"/>
          <w:b w:val="false"/>
          <w:i w:val="false"/>
          <w:color w:val="000000"/>
          <w:sz w:val="21"/>
        </w:rPr>
        <w:t>WATER QUALITY FINANCING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265—46.1</w:t>
      </w:r>
      <w:r>
        <w:rPr>
          <w:rFonts w:ascii="Times New Roman" w:hAnsi="Times New Roman"/>
          <w:b/>
          <w:i w:val="false"/>
          <w:color w:val="000000"/>
          <w:sz w:val="22"/>
        </w:rPr>
        <w:t xml:space="preserve">(16) </w:t>
      </w:r>
      <w:r>
        <w:rPr>
          <w:rFonts w:ascii="Times New Roman" w:hAnsi="Times New Roman"/>
          <w:b/>
          <w:i w:val="false"/>
          <w:color w:val="000000"/>
          <w:sz w:val="22"/>
        </w:rPr>
        <w:t xml:space="preserve">Overview.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color w:val="000000"/>
          <w:sz w:val="22"/>
        </w:rPr>
        <w:t xml:space="preserve">Source of funds. </w:t>
      </w:r>
      <w:r>
        <w:rPr>
          <w:rFonts w:ascii="Times New Roman" w:hAnsi="Times New Roman"/>
          <w:b w:val="false"/>
          <w:i w:val="false"/>
          <w:color w:val="000000"/>
          <w:sz w:val="22"/>
        </w:rPr>
        <w:t>The water quality financing program shall consist of moneys transferred to the fund, loan interest and earnings, and moneys from other funds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program shall be to provide financial assistance to enhance the quality of surface water and groundwater, particularly by providing financial assistance for projects designed to improve water quality by addressing point and nonpoint sources, with a higher prioritization provided to collaborative efforts.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means all costs, charges, expenses, or other indebtedness incurred by a loan recipient and determined by the authority as reasonable and necessary for carrying out all works and undertakings necessary or incidental to the accomplishment of any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entity” </w:t>
      </w:r>
      <w:r>
        <w:rPr>
          <w:rFonts w:ascii="Times New Roman" w:hAnsi="Times New Roman"/>
          <w:b w:val="false"/>
          <w:i w:val="false"/>
          <w:color w:val="000000"/>
          <w:sz w:val="22"/>
        </w:rPr>
        <w:t xml:space="preserve">means a municipality or a landowner, as determined by the authority, a public utility as defined in Iowa Code section </w:t>
      </w:r>
      <w:hyperlink r:id="rId5">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 specified industry, or a rural water district or rural water association as defined in Iowa Code section </w:t>
      </w:r>
      <w:hyperlink r:id="rId6">
        <w:r>
          <w:rPr>
            <w:rStyle w:val="Hyperlink"/>
            <w:rFonts w:ascii="Times New Roman" w:hAnsi="Times New Roman"/>
            <w:b w:val="false"/>
            <w:i w:val="false"/>
            <w:color w:val="000000"/>
            <w:sz w:val="22"/>
          </w:rPr>
          <w:t>357A.1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 xml:space="preserve">means the water quality financing program fund created pursuant to Iowa Code section </w:t>
      </w:r>
      <w:hyperlink r:id="rId7">
        <w:r>
          <w:rPr>
            <w:rStyle w:val="Hyperlink"/>
            <w:rFonts w:ascii="Times New Roman" w:hAnsi="Times New Roman"/>
            <w:b w:val="false"/>
            <w:i w:val="false"/>
            <w:color w:val="000000"/>
            <w:sz w:val="22"/>
          </w:rPr>
          <w:t>16.153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nutrient reduction strategy”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recipient” </w:t>
      </w:r>
      <w:r>
        <w:rPr>
          <w:rFonts w:ascii="Times New Roman" w:hAnsi="Times New Roman"/>
          <w:b w:val="false"/>
          <w:i w:val="false"/>
          <w:color w:val="000000"/>
          <w:sz w:val="22"/>
        </w:rPr>
        <w:t>means an eligible entity that has received a loan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 xml:space="preserve">means a governmental body such as a state agency or a political subdivision of the state. Municipality includes but is not limited to a city, city utility, county, soil and water conservation district, sanitary district, a subdistrict of any of the foregoing districts, a state agency, or other governmental body or corporation empowered to provide sewage collection and treatment services or drinking water, or any entity jointly exercising governmental powers pursuant to Iowa Code chapter </w:t>
      </w:r>
      <w:hyperlink r:id="rId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28F</w:t>
        </w:r>
      </w:hyperlink>
      <w:r>
        <w:rPr>
          <w:rFonts w:ascii="Times New Roman" w:hAnsi="Times New Roman"/>
          <w:b w:val="false"/>
          <w:i w:val="false"/>
          <w:color w:val="000000"/>
          <w:sz w:val="22"/>
        </w:rPr>
        <w:t>, or any other combination of two or more governmental bodies or corporations acting jointly under the laws of this state in connection with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water quality financing program created in Iowa Code chapter </w:t>
      </w:r>
      <w:hyperlink r:id="rId11">
        <w:r>
          <w:rPr>
            <w:rStyle w:val="Hyperlink"/>
            <w:rFonts w:ascii="Times New Roman" w:hAnsi="Times New Roman"/>
            <w:b w:val="false"/>
            <w:i w:val="false"/>
            <w:color w:val="000000"/>
            <w:sz w:val="22"/>
          </w:rPr>
          <w:t>16, subchapter X, part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any combination of improvements, structures, developments, tasks, actions, constructions, modifications, operations, or practices designed to improve water quality that are proposed by an eligible entity and approved by the authority. “Project” includes but is not limited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the context of water pollution control facilities, the acquisition, construction, reconstruction, extension, equipping, improvement, or rehabilitation of any works and facilities useful for the collection, treatment, and disposal of sewage and industrial waste in a sanitary manner, including treatment works as defined in </w:t>
      </w:r>
      <w:r>
        <w:rPr>
          <w:rFonts w:ascii="Times New Roman" w:hAnsi="Times New Roman"/>
          <w:b w:val="false"/>
          <w:i w:val="false"/>
          <w:color w:val="000000"/>
          <w:sz w:val="22"/>
        </w:rPr>
        <w:t>Section 212 of the federal Clean Water Act</w:t>
      </w:r>
      <w:r>
        <w:rPr>
          <w:rFonts w:ascii="Times New Roman" w:hAnsi="Times New Roman"/>
          <w:b w:val="false"/>
          <w:i w:val="false"/>
          <w:color w:val="000000"/>
          <w:sz w:val="22"/>
        </w:rPr>
        <w:t xml:space="preserve">, or the implementation and development of management programs established under </w:t>
      </w:r>
      <w:r>
        <w:rPr>
          <w:rFonts w:ascii="Times New Roman" w:hAnsi="Times New Roman"/>
          <w:b w:val="false"/>
          <w:i w:val="false"/>
          <w:color w:val="000000"/>
          <w:sz w:val="22"/>
        </w:rPr>
        <w:t>Sections 319 and 320 of the federal Clean Water Act</w:t>
      </w:r>
      <w:r>
        <w:rPr>
          <w:rFonts w:ascii="Times New Roman" w:hAnsi="Times New Roman"/>
          <w:b w:val="false"/>
          <w:i w:val="false"/>
          <w:color w:val="000000"/>
          <w:sz w:val="22"/>
        </w:rPr>
        <w:t>, including construction and undertaking of nonpoint source water pollution control projects and related development activities authorized under those sections.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 the context of drinking water facilities, the acquisition, construction, reconstruction, extending, remodeling, improving, repairing, or equipping of waterworks, water mains, extensions, or treatment facilities useful for providing potable water to residents served by a water system, including the acquisition of real property needed for any of the foregoing purposes, and such other purposes and programs as may be authorized under the federal Safe Drinking Water Act.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project, operation, or practice undertaken or carried out to address watershed protection, flood prevention, or water quality improvement.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project meeting the requirements of a water resource restoration sponsor project under Iowa Code section </w:t>
      </w:r>
      <w:hyperlink r:id="rId12">
        <w:r>
          <w:rPr>
            <w:rStyle w:val="Hyperlink"/>
            <w:rFonts w:ascii="Times New Roman" w:hAnsi="Times New Roman"/>
            <w:b w:val="false"/>
            <w:i w:val="false"/>
            <w:color w:val="000000"/>
            <w:sz w:val="22"/>
          </w:rPr>
          <w:t>455B.199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“Specified industry”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entity engaged in an industry identified in the Iowa nutrient reduction strategy, as determined by the authority, which industry is or will be required pursuant to the Iowa nutrient reduction strategy to collect data on the source, concentration and mass of total nitrogen or total phosphorus in its effluent, and to evaluate alternatives for reducing the amount of nutrients in its discharge;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entity implementing technology or operational improvements to reduce nutrients in its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265—46.3</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46.3(1)</w:t>
      </w:r>
      <w:r>
        <w:rPr>
          <w:rFonts w:ascii="Times New Roman" w:hAnsi="Times New Roman"/>
          <w:b w:val="false"/>
          <w:i w:val="false"/>
          <w:color w:val="000000"/>
          <w:sz w:val="22"/>
        </w:rPr>
        <w:t> </w:t>
      </w:r>
      <w:r>
        <w:rPr>
          <w:rFonts w:ascii="Times New Roman" w:hAnsi="Times New Roman"/>
          <w:b w:val="false"/>
          <w:i/>
          <w:color w:val="000000"/>
          <w:sz w:val="22"/>
        </w:rPr>
        <w:t xml:space="preserve">Cooperating agencies. </w:t>
      </w:r>
      <w:r>
        <w:rPr>
          <w:rFonts w:ascii="Times New Roman" w:hAnsi="Times New Roman"/>
          <w:b w:val="false"/>
          <w:i w:val="false"/>
          <w:color w:val="000000"/>
          <w:sz w:val="22"/>
        </w:rPr>
        <w:t>The fund shall be administered by the authority in cooperation with the department of natural resources and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46.3(2)</w:t>
      </w:r>
      <w:r>
        <w:rPr>
          <w:rFonts w:ascii="Times New Roman" w:hAnsi="Times New Roman"/>
          <w:b w:val="false"/>
          <w:i w:val="false"/>
          <w:color w:val="000000"/>
          <w:sz w:val="22"/>
        </w:rPr>
        <w:t> </w:t>
      </w:r>
      <w:r>
        <w:rPr>
          <w:rFonts w:ascii="Times New Roman" w:hAnsi="Times New Roman"/>
          <w:b w:val="false"/>
          <w:i/>
          <w:color w:val="000000"/>
          <w:sz w:val="22"/>
        </w:rPr>
        <w:t xml:space="preserve">Interest rates and terms. </w:t>
      </w:r>
      <w:r>
        <w:rPr>
          <w:rFonts w:ascii="Times New Roman" w:hAnsi="Times New Roman"/>
          <w:b w:val="false"/>
          <w:i w:val="false"/>
          <w:color w:val="000000"/>
          <w:sz w:val="22"/>
        </w:rPr>
        <w:t>Interest rates and repayment terms shall be determined by the authority in cooperation with the department of natural resources and the department of agriculture and land stewardship. The interest rate shall be specified in the application. Loan and grant terms shall be negotiated with each loan recipient and grant recipient, as the case may be, but no loan shall have a term more than 20 years. Loans may be prepaid at any time with no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46.3(3)</w:t>
      </w:r>
      <w:r>
        <w:rPr>
          <w:rFonts w:ascii="Times New Roman" w:hAnsi="Times New Roman"/>
          <w:b w:val="false"/>
          <w:i w:val="false"/>
          <w:color w:val="000000"/>
          <w:sz w:val="22"/>
        </w:rPr>
        <w:t> </w:t>
      </w:r>
      <w:r>
        <w:rPr>
          <w:rFonts w:ascii="Times New Roman" w:hAnsi="Times New Roman"/>
          <w:b w:val="false"/>
          <w:i/>
          <w:color w:val="000000"/>
          <w:sz w:val="22"/>
        </w:rPr>
        <w:t xml:space="preserve">Parts of project eligible for funding. </w:t>
      </w:r>
      <w:r>
        <w:rPr>
          <w:rFonts w:ascii="Times New Roman" w:hAnsi="Times New Roman"/>
          <w:b w:val="false"/>
          <w:i w:val="false"/>
          <w:color w:val="000000"/>
          <w:sz w:val="22"/>
        </w:rPr>
        <w:t>Only the part of the project that has a water quality protection or improvement component may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46.3(4)</w:t>
      </w:r>
      <w:r>
        <w:rPr>
          <w:rFonts w:ascii="Times New Roman" w:hAnsi="Times New Roman"/>
          <w:b w:val="false"/>
          <w:i w:val="false"/>
          <w:color w:val="000000"/>
          <w:sz w:val="22"/>
        </w:rPr>
        <w:t> </w:t>
      </w:r>
      <w:r>
        <w:rPr>
          <w:rFonts w:ascii="Times New Roman" w:hAnsi="Times New Roman"/>
          <w:b w:val="false"/>
          <w:i/>
          <w:color w:val="000000"/>
          <w:sz w:val="22"/>
        </w:rPr>
        <w:t xml:space="preserve">Funding guidelines. </w:t>
      </w:r>
      <w:r>
        <w:rPr>
          <w:rFonts w:ascii="Times New Roman" w:hAnsi="Times New Roman"/>
          <w:b w:val="false"/>
          <w:i w:val="false"/>
          <w:color w:val="000000"/>
          <w:sz w:val="22"/>
        </w:rPr>
        <w:t>The fund shall be administered in such a manner as to provide a permanent source of water quality project financial assistance to eligible entities. Financial assistance shall be provided in the form deemed by the authority to be most convenient for the efficient financing of projects, including loans, forgivable loans, or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265—46.4</w:t>
      </w:r>
      <w:r>
        <w:rPr>
          <w:rFonts w:ascii="Times New Roman" w:hAnsi="Times New Roman"/>
          <w:b/>
          <w:i w:val="false"/>
          <w:color w:val="000000"/>
          <w:sz w:val="22"/>
        </w:rPr>
        <w:t xml:space="preserve">(16) </w:t>
      </w:r>
      <w:r>
        <w:rPr>
          <w:rFonts w:ascii="Times New Roman" w:hAnsi="Times New Roman"/>
          <w:b/>
          <w:i w:val="false"/>
          <w:color w:val="000000"/>
          <w:sz w:val="22"/>
        </w:rPr>
        <w:t xml:space="preserve">Project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46.4(1)</w:t>
      </w:r>
      <w:r>
        <w:rPr>
          <w:rFonts w:ascii="Times New Roman" w:hAnsi="Times New Roman"/>
          <w:b w:val="false"/>
          <w:i w:val="false"/>
          <w:color w:val="000000"/>
          <w:sz w:val="22"/>
        </w:rPr>
        <w:t> </w:t>
      </w:r>
      <w:r>
        <w:rPr>
          <w:rFonts w:ascii="Times New Roman" w:hAnsi="Times New Roman"/>
          <w:b w:val="false"/>
          <w:i/>
          <w:color w:val="000000"/>
          <w:sz w:val="22"/>
        </w:rPr>
        <w:t xml:space="preserve">Annual applications. </w:t>
      </w:r>
      <w:r>
        <w:rPr>
          <w:rFonts w:ascii="Times New Roman" w:hAnsi="Times New Roman"/>
          <w:b w:val="false"/>
          <w:i w:val="false"/>
          <w:color w:val="000000"/>
          <w:sz w:val="22"/>
        </w:rPr>
        <w:t>Applications shall be taken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46.4(2)</w:t>
      </w:r>
      <w:r>
        <w:rPr>
          <w:rFonts w:ascii="Times New Roman" w:hAnsi="Times New Roman"/>
          <w:b w:val="false"/>
          <w:i w:val="false"/>
          <w:color w:val="000000"/>
          <w:sz w:val="22"/>
        </w:rPr>
        <w:t> </w:t>
      </w:r>
      <w:r>
        <w:rPr>
          <w:rFonts w:ascii="Times New Roman" w:hAnsi="Times New Roman"/>
          <w:b w:val="false"/>
          <w:i/>
          <w:color w:val="000000"/>
          <w:sz w:val="22"/>
        </w:rPr>
        <w:t xml:space="preserve">Plan requirements. </w:t>
      </w:r>
      <w:r>
        <w:rPr>
          <w:rFonts w:ascii="Times New Roman" w:hAnsi="Times New Roman"/>
          <w:b w:val="false"/>
          <w:i w:val="false"/>
          <w:color w:val="000000"/>
          <w:sz w:val="22"/>
        </w:rPr>
        <w:t>Each application shall include a plan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include one or more projects that improve water quality in the local area or watershed. Projects shall use practices identified in the Iowa nutrient reduction strategy.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shall describe in detail the manner in which the project will be financed and undertaken, including, as applicable, the sources of revenue directed to financing the improvements as well as the eligible entities that will be receiving the revenues and how such revenues will be spent on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46.4(3)</w:t>
      </w:r>
      <w:r>
        <w:rPr>
          <w:rFonts w:ascii="Times New Roman" w:hAnsi="Times New Roman"/>
          <w:b w:val="false"/>
          <w:i w:val="false"/>
          <w:color w:val="000000"/>
          <w:sz w:val="22"/>
        </w:rPr>
        <w:t> </w:t>
      </w:r>
      <w:r>
        <w:rPr>
          <w:rFonts w:ascii="Times New Roman" w:hAnsi="Times New Roman"/>
          <w:b w:val="false"/>
          <w:i/>
          <w:color w:val="000000"/>
          <w:sz w:val="22"/>
        </w:rPr>
        <w:t xml:space="preserve">Project agreements. </w:t>
      </w:r>
      <w:r>
        <w:rPr>
          <w:rFonts w:ascii="Times New Roman" w:hAnsi="Times New Roman"/>
          <w:b w:val="false"/>
          <w:i w:val="false"/>
          <w:color w:val="000000"/>
          <w:sz w:val="22"/>
        </w:rPr>
        <w:t>The financial assistance shall be provided to the project pursuant to a written agreement between the recipient and the authority, which shall include standard terms for the receipt of program moneys and any other terms the authority deems necessary or convenient for the efficient administration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265—46.5</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w:t>
      </w:r>
      <w:r>
        <w:rPr>
          <w:rFonts w:ascii="Times New Roman" w:hAnsi="Times New Roman"/>
          <w:b w:val="false"/>
          <w:i w:val="false"/>
          <w:color w:val="000000"/>
          <w:sz w:val="22"/>
        </w:rPr>
        <w:t> </w:t>
      </w:r>
      <w:r>
        <w:rPr>
          <w:rFonts w:ascii="Times New Roman" w:hAnsi="Times New Roman"/>
          <w:b w:val="false"/>
          <w:i/>
          <w:color w:val="000000"/>
          <w:sz w:val="22"/>
        </w:rPr>
        <w:t xml:space="preserve">Project requirements. </w:t>
      </w:r>
      <w:r>
        <w:rPr>
          <w:rFonts w:ascii="Times New Roman" w:hAnsi="Times New Roman"/>
          <w:b w:val="false"/>
          <w:i w:val="false"/>
          <w:color w:val="000000"/>
          <w:sz w:val="22"/>
        </w:rPr>
        <w:t>All projects financed under the program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owner shall be responsible for obtaining all necessary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eligible costs shall be documented to the satisfaction of the authority before proceeds may be disbursed;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shall maintain records that document all costs associated with the project. The recipient shall provide access to these records to the authority upon request. The recipient shall retain such records and documents for inspection and audit purposes for a period of three years from the date of the final disbursement of funds;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recipient shall agree to provide the authority, the department of natural resources, and the department of agriculture and land stewardship or their agents access to the project site at all times during the construction process to verify that the funds are being used for the purpose intended and that the construction work meets applicable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46.5(2)</w:t>
      </w:r>
      <w:r>
        <w:rPr>
          <w:rFonts w:ascii="Times New Roman" w:hAnsi="Times New Roman"/>
          <w:b w:val="false"/>
          <w:i w:val="false"/>
          <w:color w:val="000000"/>
          <w:sz w:val="22"/>
        </w:rPr>
        <w:t> </w:t>
      </w:r>
      <w:r>
        <w:rPr>
          <w:rFonts w:ascii="Times New Roman" w:hAnsi="Times New Roman"/>
          <w:b w:val="false"/>
          <w:i/>
          <w:color w:val="000000"/>
          <w:sz w:val="22"/>
        </w:rPr>
        <w:t xml:space="preserve">Loan requirements. </w:t>
      </w:r>
      <w:r>
        <w:rPr>
          <w:rFonts w:ascii="Times New Roman" w:hAnsi="Times New Roman"/>
          <w:b w:val="false"/>
          <w:i w:val="false"/>
          <w:color w:val="000000"/>
          <w:sz w:val="22"/>
        </w:rPr>
        <w:t>All loans made by the authority to finance projects under the program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loan shall be accompanied by an enforceability opinion of counsel in a form acceptable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Repayment must begin within 30 days after project completion or by the date specified in the loan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loan shall be secured by a first lien upon the dedicated source of repayment which may rank on a parity basis with other obligations or, with the approval of the executive director of the authority, may be subordinate in right of payment to one or more of the recipient’s other outstanding revenue obligations.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265—46.6</w:t>
      </w:r>
      <w:r>
        <w:rPr>
          <w:rFonts w:ascii="Times New Roman" w:hAnsi="Times New Roman"/>
          <w:b/>
          <w:i w:val="false"/>
          <w:color w:val="000000"/>
          <w:sz w:val="22"/>
        </w:rPr>
        <w:t xml:space="preserve">(16) </w:t>
      </w:r>
      <w:r>
        <w:rPr>
          <w:rFonts w:ascii="Times New Roman" w:hAnsi="Times New Roman"/>
          <w:b/>
          <w:i w:val="false"/>
          <w:color w:val="000000"/>
          <w:sz w:val="22"/>
        </w:rPr>
        <w:t xml:space="preserve">Project scoring. </w:t>
      </w:r>
      <w:r>
        <w:rPr>
          <w:rFonts w:ascii="Times New Roman" w:hAnsi="Times New Roman"/>
          <w:b w:val="false"/>
          <w:i w:val="false"/>
          <w:color w:val="000000"/>
          <w:sz w:val="22"/>
        </w:rPr>
        <w:t>The provision of financial assistance under the program shall take into account, as applicable, the number of municipalities, landowners, public utilities, specified industries, rural water districts, or rural water associations that constitute an eligible entity, and the eligible entity’s financing capacity. The authority shall only provide financial assistance to eligible entities that have sufficient financing capacity and that submit an appropriate plan designed to improve water quality.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265—46.7</w:t>
      </w:r>
      <w:r>
        <w:rPr>
          <w:rFonts w:ascii="Times New Roman" w:hAnsi="Times New Roman"/>
          <w:b/>
          <w:i w:val="false"/>
          <w:color w:val="000000"/>
          <w:sz w:val="22"/>
        </w:rPr>
        <w:t xml:space="preserve">(16) </w:t>
      </w:r>
      <w:r>
        <w:rPr>
          <w:rFonts w:ascii="Times New Roman" w:hAnsi="Times New Roman"/>
          <w:b/>
          <w:i w:val="false"/>
          <w:color w:val="000000"/>
          <w:sz w:val="22"/>
        </w:rPr>
        <w:t xml:space="preserve">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46.7(1)</w:t>
      </w:r>
      <w:r>
        <w:rPr>
          <w:rFonts w:ascii="Times New Roman" w:hAnsi="Times New Roman"/>
          <w:b w:val="false"/>
          <w:i w:val="false"/>
          <w:color w:val="000000"/>
          <w:sz w:val="22"/>
        </w:rPr>
        <w:t> </w:t>
      </w:r>
      <w:r>
        <w:rPr>
          <w:rFonts w:ascii="Times New Roman" w:hAnsi="Times New Roman"/>
          <w:b w:val="false"/>
          <w:i/>
          <w:color w:val="000000"/>
          <w:sz w:val="22"/>
        </w:rPr>
        <w:t xml:space="preserve">Financial feasibility. </w:t>
      </w:r>
      <w:r>
        <w:rPr>
          <w:rFonts w:ascii="Times New Roman" w:hAnsi="Times New Roman"/>
          <w:b w:val="false"/>
          <w:i w:val="false"/>
          <w:color w:val="000000"/>
          <w:sz w:val="22"/>
        </w:rPr>
        <w:t>Thirty-five percent of the total possible points shall be based on financial feasibility of the proposed project. Elements considered under financial feasibility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Experience of the eligible entity in financial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project budget detailing all sources of funds as well as expected project costs. This would include information on whether other funding has been received, applied for or just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project timeline, including information on the development of plans and specifications for the project, needed approvals and permits, and project construction start and completion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maintenance plan for the project, including information on the likely useful life of the project, the party or parties responsible for maintaining the project, the cost of maintenance, and how those costs will be paid;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case of loans, the source(s) of funds for loan repayment.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46.7(2)</w:t>
      </w:r>
      <w:r>
        <w:rPr>
          <w:rFonts w:ascii="Times New Roman" w:hAnsi="Times New Roman"/>
          <w:b w:val="false"/>
          <w:i w:val="false"/>
          <w:color w:val="000000"/>
          <w:sz w:val="22"/>
        </w:rPr>
        <w:t> </w:t>
      </w:r>
      <w:r>
        <w:rPr>
          <w:rFonts w:ascii="Times New Roman" w:hAnsi="Times New Roman"/>
          <w:b w:val="false"/>
          <w:i/>
          <w:color w:val="000000"/>
          <w:sz w:val="22"/>
        </w:rPr>
        <w:t xml:space="preserve">Project collaboration. </w:t>
      </w:r>
      <w:r>
        <w:rPr>
          <w:rFonts w:ascii="Times New Roman" w:hAnsi="Times New Roman"/>
          <w:b w:val="false"/>
          <w:i w:val="false"/>
          <w:color w:val="000000"/>
          <w:sz w:val="22"/>
        </w:rPr>
        <w:t>Thirty percent of the total possible points shall be based on project collaboration. Elements considered under project collaboration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all parties involved in the project, including the roles, responsibilities, qualifications and experience of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any formal agreements among the parties and the status of those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financial commitments of each party in the entity with respect to the project, including contributions of cash, gifts, or loans;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whether the project is part of a larger coordinated effort to improve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46.7(3)</w:t>
      </w:r>
      <w:r>
        <w:rPr>
          <w:rFonts w:ascii="Times New Roman" w:hAnsi="Times New Roman"/>
          <w:b w:val="false"/>
          <w:i w:val="false"/>
          <w:color w:val="000000"/>
          <w:sz w:val="22"/>
        </w:rPr>
        <w:t> </w:t>
      </w:r>
      <w:r>
        <w:rPr>
          <w:rFonts w:ascii="Times New Roman" w:hAnsi="Times New Roman"/>
          <w:b w:val="false"/>
          <w:i/>
          <w:color w:val="000000"/>
          <w:sz w:val="22"/>
        </w:rPr>
        <w:t xml:space="preserve">Water quality benefit. </w:t>
      </w:r>
      <w:r>
        <w:rPr>
          <w:rFonts w:ascii="Times New Roman" w:hAnsi="Times New Roman"/>
          <w:b w:val="false"/>
          <w:i w:val="false"/>
          <w:color w:val="000000"/>
          <w:sz w:val="22"/>
        </w:rPr>
        <w:t>Thirty-five percent of the total possible points shall be based on water quality benefit. Elements considered under the water quality benefit of the project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specific watershed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a comprehensive watershed plan has been completed and water quality impairments have been identified for the watershed;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goals of the project are targeted to impact the identified impairments in the watershed, including a description of methods used to determine practices and the location of practices to reach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on how results of the project will be measured (e.g., by quantity of pollution being reduced or the percentage of pollution being reduced);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project will use practices identified in the Iowa nutrient reduction strategy.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265—46.8</w:t>
      </w:r>
      <w:r>
        <w:rPr>
          <w:rFonts w:ascii="Times New Roman" w:hAnsi="Times New Roman"/>
          <w:b/>
          <w:i w:val="false"/>
          <w:color w:val="000000"/>
          <w:sz w:val="22"/>
        </w:rPr>
        <w:t xml:space="preserve">(16) </w:t>
      </w:r>
      <w:r>
        <w:rPr>
          <w:rFonts w:ascii="Times New Roman" w:hAnsi="Times New Roman"/>
          <w:b/>
          <w:i w:val="false"/>
          <w:color w:val="000000"/>
          <w:sz w:val="22"/>
        </w:rPr>
        <w:t xml:space="preserve">Termination; rectification of deficiencies;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46.8(1)</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The authority shall have the right to terminate and recapture any grant or loan proceeds when terms of the financial agreement have been violated. The executive director shall establish a repayment schedule for funds already disbursed to the recipient. All terminations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46.8(2)</w:t>
      </w:r>
      <w:r>
        <w:rPr>
          <w:rFonts w:ascii="Times New Roman" w:hAnsi="Times New Roman"/>
          <w:b w:val="false"/>
          <w:i w:val="false"/>
          <w:color w:val="000000"/>
          <w:sz w:val="22"/>
        </w:rPr>
        <w:t> </w:t>
      </w:r>
      <w:r>
        <w:rPr>
          <w:rFonts w:ascii="Times New Roman" w:hAnsi="Times New Roman"/>
          <w:b w:val="false"/>
          <w:i/>
          <w:color w:val="000000"/>
          <w:sz w:val="22"/>
        </w:rPr>
        <w:t xml:space="preserve">Rectification of deficiencies. </w:t>
      </w:r>
      <w:r>
        <w:rPr>
          <w:rFonts w:ascii="Times New Roman" w:hAnsi="Times New Roman"/>
          <w:b w:val="false"/>
          <w:i w:val="false"/>
          <w:color w:val="000000"/>
          <w:sz w:val="22"/>
        </w:rPr>
        <w:t>Failure of the recipient to implement the approved project or to comply with the applicable requirements constitutes grounds for the authority to recapture or withhold funds. The recipient is responsible for ensuring that the identified deficiency is rectified. Once the deficiency is corrected, the funds may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46.8(3)</w:t>
      </w:r>
      <w:r>
        <w:rPr>
          <w:rFonts w:ascii="Times New Roman" w:hAnsi="Times New Roman"/>
          <w:b w:val="false"/>
          <w:i w:val="false"/>
          <w:color w:val="000000"/>
          <w:sz w:val="22"/>
        </w:rPr>
        <w:t> </w:t>
      </w:r>
      <w:r>
        <w:rPr>
          <w:rFonts w:ascii="Times New Roman" w:hAnsi="Times New Roman"/>
          <w:b w:val="false"/>
          <w:i/>
          <w:color w:val="000000"/>
          <w:sz w:val="22"/>
        </w:rPr>
        <w:t xml:space="preserve">Disputes. </w:t>
      </w:r>
      <w:r>
        <w:rPr>
          <w:rFonts w:ascii="Times New Roman" w:hAnsi="Times New Roman"/>
          <w:b w:val="false"/>
          <w:i w:val="false"/>
          <w:color w:val="000000"/>
          <w:sz w:val="22"/>
        </w:rPr>
        <w:t>A recipient that disagrees with the authority’s withholding of funds may request a formal review of the action. The recipient must submit a request in writing to the executive director within 30 days of notification by the authority of its planned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4453C</w:t>
      </w:r>
      <w:r>
        <w:rPr>
          <w:rFonts w:ascii="Times New Roman" w:hAnsi="Times New Roman"/>
          <w:b w:val="false"/>
          <w:i w:val="false"/>
          <w:color w:val="000000"/>
          <w:sz w:val="16"/>
        </w:rPr>
        <w:t>, IAB 5/22/19, effective 6/26/19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16.134A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16.151 through 16.154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4453C</w:t>
      </w:r>
      <w:r>
        <w:rPr>
          <w:rFonts w:ascii="Times New Roman" w:hAnsi="Times New Roman"/>
          <w:b w:val="false"/>
          <w:i w:val="false"/>
          <w:color w:val="000000"/>
          <w:sz w:val="21"/>
        </w:rPr>
        <w:t xml:space="preserve"> (Notice ARC 4372C, IAB 3/27/19)</w:t>
      </w:r>
      <w:r>
        <w:rPr>
          <w:rFonts w:ascii="Times New Roman" w:hAnsi="Times New Roman"/>
          <w:b w:val="false"/>
          <w:i w:val="false"/>
          <w:color w:val="000000"/>
          <w:sz w:val="21"/>
        </w:rPr>
        <w:t>, IAB 5/22/19, effective 6/26/19]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1.pdf" Type="http://schemas.openxmlformats.org/officeDocument/2006/relationships/hyperlink" Id="rId5"/>
    <Relationship TargetMode="External" Target="https://www.legis.iowa.gov/docs/ico/chapter/357A.1.pdf" Type="http://schemas.openxmlformats.org/officeDocument/2006/relationships/hyperlink" Id="rId6"/>
    <Relationship TargetMode="External" Target="https://www.legis.iowa.gov/docs/ico/chapter/16.153.pdf" Type="http://schemas.openxmlformats.org/officeDocument/2006/relationships/hyperlink" Id="rId7"/>
    <Relationship TargetMode="External" Target="https://www.legis.iowa.gov/docs/ico/chapter/455B.171.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co/chapter/28F.pdf" Type="http://schemas.openxmlformats.org/officeDocument/2006/relationships/hyperlink" Id="rId10"/>
    <Relationship TargetMode="External" Target="https://www.legis.iowa.gov/docs/ico/chapter/16.pdf" Type="http://schemas.openxmlformats.org/officeDocument/2006/relationships/hyperlink" Id="rId11"/>
    <Relationship TargetMode="External" Target="https://www.legis.iowa.gov/docs/ico/chapter/455B.199.pdf" Type="http://schemas.openxmlformats.org/officeDocument/2006/relationships/hyperlink" Id="rId12"/>
    <Relationship TargetMode="External" Target="https://www.legis.iowa.gov/docs/ico/chapter/16.134A.pdf" Type="http://schemas.openxmlformats.org/officeDocument/2006/relationships/hyperlink" Id="rId13"/>
    <Relationship TargetMode="External" Target="https://www.legis.iowa.gov/docs/ico/chapter/16.151-154.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