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w:t>
      </w:r>
    </w:p>
    <w:p>
      <w:pPr>
        <w:spacing w:before="0" w:after="0"/>
        <w:ind w:left="120"/>
        <w:jc w:val="center"/>
      </w:pPr>
      <w:r>
        <w:rPr>
          <w:rFonts w:ascii="Times New Roman" w:hAnsi="Times New Roman"/>
          <w:b w:val="false"/>
          <w:i w:val="false"/>
          <w:color w:val="000000"/>
          <w:sz w:val="21"/>
        </w:rPr>
        <w:t>COMMUNITY HOUSING AND SERVICES FOR PERSONS WITH DISABILITIES</w:t>
      </w:r>
      <w:r>
        <w:br/>
      </w:r>
      <w:r>
        <w:rPr>
          <w:rFonts w:ascii="Times New Roman" w:hAnsi="Times New Roman"/>
          <w:b w:val="false"/>
          <w:i w:val="false"/>
          <w:color w:val="000000"/>
          <w:sz w:val="21"/>
        </w:rPr>
        <w:t>REVOLVING LOAN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265—43.1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Through its community housing and services for persons with disabilities revolving loan program, the authority seeks to further the availability of affordable housing and supportive services for Medicaid waiver-eligible individuals with behaviors that provide significant barriers to accessing traditional rental and supportive service opportunities. Loans from the community housing and services for persons with disabilities revolving loan program fund are to be used to provide financing to construct permanent supportive housing or develop infrastructure in which to provide supportive services, including through new construction, acquisition and rehabilitation of existing housing or infrastructure, or conversion or adaptive reuse. This chapter is intended to implement Iowa Code sections </w:t>
      </w:r>
      <w:hyperlink r:id="rId5">
        <w:r>
          <w:rPr>
            <w:rStyle w:val="Hyperlink"/>
            <w:rFonts w:ascii="Times New Roman" w:hAnsi="Times New Roman"/>
            <w:b w:val="false"/>
            <w:i w:val="false"/>
            <w:color w:val="000000"/>
            <w:sz w:val="22"/>
          </w:rPr>
          <w:t>16.5(1)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16.49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Pursuant to Iowa Code section </w:t>
      </w:r>
      <w:hyperlink r:id="rId7">
        <w:r>
          <w:rPr>
            <w:rStyle w:val="Hyperlink"/>
            <w:rFonts w:ascii="Times New Roman" w:hAnsi="Times New Roman"/>
            <w:b w:val="false"/>
            <w:i w:val="false"/>
            <w:color w:val="000000"/>
            <w:sz w:val="22"/>
          </w:rPr>
          <w:t>16.49(4)</w:t>
        </w:r>
      </w:hyperlink>
      <w:r>
        <w:rPr>
          <w:rFonts w:ascii="Times New Roman" w:hAnsi="Times New Roman"/>
          <w:b w:val="false"/>
          <w:i/>
          <w:color w:val="000000"/>
          <w:sz w:val="22"/>
        </w:rPr>
        <w:t>“d,”</w:t>
      </w:r>
      <w:r>
        <w:rPr>
          <w:rFonts w:ascii="Times New Roman" w:hAnsi="Times New Roman"/>
          <w:b w:val="false"/>
          <w:i w:val="false"/>
          <w:color w:val="000000"/>
          <w:sz w:val="22"/>
        </w:rPr>
        <w:t xml:space="preserve"> housing provided through a project under this chapter is exempt from the requirements of Iowa Code chapter </w:t>
      </w:r>
      <w:hyperlink r:id="rId8">
        <w:r>
          <w:rPr>
            <w:rStyle w:val="Hyperlink"/>
            <w:rFonts w:ascii="Times New Roman" w:hAnsi="Times New Roman"/>
            <w:b w:val="false"/>
            <w:i w:val="false"/>
            <w:color w:val="000000"/>
            <w:sz w:val="22"/>
          </w:rPr>
          <w:t>135O</w:t>
        </w:r>
      </w:hyperlink>
      <w:r>
        <w:rPr>
          <w:rFonts w:ascii="Times New Roman" w:hAnsi="Times New Roman"/>
          <w:b w:val="false"/>
          <w:i w:val="false"/>
          <w:color w:val="000000"/>
          <w:sz w:val="22"/>
        </w:rPr>
        <w:t>, Boarding Homes.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9690B</w:t>
      </w:r>
      <w:r>
        <w:rPr>
          <w:rFonts w:ascii="Times New Roman" w:hAnsi="Times New Roman"/>
          <w:b w:val="false"/>
          <w:i w:val="false"/>
          <w:color w:val="000000"/>
          <w:sz w:val="16"/>
        </w:rPr>
        <w:t>, IAB 8/24/11, effective 8/18/11</w:t>
      </w:r>
      <w:r>
        <w:rPr>
          <w:rFonts w:ascii="Times New Roman" w:hAnsi="Times New Roman"/>
          <w:b w:val="false"/>
          <w:i w:val="false"/>
          <w:color w:val="000000"/>
          <w:sz w:val="16"/>
        </w:rPr>
        <w:t xml:space="preserve">; </w:t>
      </w:r>
      <w:r>
        <w:rPr>
          <w:rFonts w:ascii="Times New Roman" w:hAnsi="Times New Roman"/>
          <w:b/>
          <w:i w:val="false"/>
          <w:color w:val="000000"/>
          <w:sz w:val="16"/>
        </w:rPr>
        <w:t>ARC 9878B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2008C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265—43.2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Iowa finance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w:t>
      </w:r>
      <w:r>
        <w:rPr>
          <w:rFonts w:ascii="Times New Roman" w:hAnsi="Times New Roman"/>
          <w:b w:val="false"/>
          <w:i w:val="false"/>
          <w:color w:val="000000"/>
          <w:sz w:val="22"/>
        </w:rPr>
        <w:t>means the HOME Investment Partnership Program, authorized by the Cranston-Gonzalez National Affordable Housing Act of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“Infrastructure” </w:t>
      </w:r>
      <w:r>
        <w:rPr>
          <w:rFonts w:ascii="Times New Roman" w:hAnsi="Times New Roman"/>
          <w:b w:val="false"/>
          <w:i w:val="false"/>
          <w:color w:val="000000"/>
          <w:sz w:val="22"/>
        </w:rPr>
        <w:t>means the building and permanent improvements necessary for the support of Medicaid waiver-eligible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waiver-eligible” </w:t>
      </w:r>
      <w:r>
        <w:rPr>
          <w:rFonts w:ascii="Times New Roman" w:hAnsi="Times New Roman"/>
          <w:b w:val="false"/>
          <w:i w:val="false"/>
          <w:color w:val="000000"/>
          <w:sz w:val="22"/>
        </w:rPr>
        <w:t xml:space="preserve">means eligible to receive 19 United States Code Section 1915(c) home- and community-based services waivers under Iowa Administrative Code </w:t>
      </w:r>
      <w:hyperlink r:id="rId9">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supportive housing” </w:t>
      </w:r>
      <w:r>
        <w:rPr>
          <w:rFonts w:ascii="Times New Roman" w:hAnsi="Times New Roman"/>
          <w:b w:val="false"/>
          <w:i w:val="false"/>
          <w:color w:val="000000"/>
          <w:sz w:val="22"/>
        </w:rPr>
        <w:t>means a community-based dwelling that has supportive services for persons with disabilities. This type of supportive housing enables special needs populations to live as independently as possible in a permanent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“PMIC” </w:t>
      </w:r>
      <w:r>
        <w:rPr>
          <w:rFonts w:ascii="Times New Roman" w:hAnsi="Times New Roman"/>
          <w:b w:val="false"/>
          <w:i w:val="false"/>
          <w:color w:val="000000"/>
          <w:sz w:val="22"/>
        </w:rPr>
        <w:t>means psychiatric medical institutions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community housing and services for persons with disabilities revolving loan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9690B</w:t>
      </w:r>
      <w:r>
        <w:rPr>
          <w:rFonts w:ascii="Times New Roman" w:hAnsi="Times New Roman"/>
          <w:b w:val="false"/>
          <w:i w:val="false"/>
          <w:color w:val="000000"/>
          <w:sz w:val="16"/>
        </w:rPr>
        <w:t>, IAB 8/24/11, effective 8/18/11</w:t>
      </w:r>
      <w:r>
        <w:rPr>
          <w:rFonts w:ascii="Times New Roman" w:hAnsi="Times New Roman"/>
          <w:b w:val="false"/>
          <w:i w:val="false"/>
          <w:color w:val="000000"/>
          <w:sz w:val="16"/>
        </w:rPr>
        <w:t xml:space="preserve">; </w:t>
      </w:r>
      <w:r>
        <w:rPr>
          <w:rFonts w:ascii="Times New Roman" w:hAnsi="Times New Roman"/>
          <w:b/>
          <w:i w:val="false"/>
          <w:color w:val="000000"/>
          <w:sz w:val="16"/>
        </w:rPr>
        <w:t>ARC 9878B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265—43.3</w:t>
      </w:r>
      <w:r>
        <w:rPr>
          <w:rFonts w:ascii="Times New Roman" w:hAnsi="Times New Roman"/>
          <w:b/>
          <w:i w:val="false"/>
          <w:color w:val="000000"/>
          <w:sz w:val="22"/>
        </w:rPr>
        <w:t xml:space="preserve">(16) </w:t>
      </w:r>
      <w:r>
        <w:rPr>
          <w:rFonts w:ascii="Times New Roman" w:hAnsi="Times New Roman"/>
          <w:b/>
          <w:i w:val="false"/>
          <w:color w:val="000000"/>
          <w:sz w:val="22"/>
        </w:rPr>
        <w:t xml:space="preserve">Award of loan funds. </w:t>
      </w:r>
      <w:r>
        <w:rPr>
          <w:rFonts w:ascii="Times New Roman" w:hAnsi="Times New Roman"/>
          <w:b w:val="false"/>
          <w:i w:val="false"/>
          <w:color w:val="000000"/>
          <w:sz w:val="22"/>
        </w:rPr>
        <w:t xml:space="preserve">It is the authority’s intent to award loans under the program to those applicants that meet all of the requirements of this chapter and the published underwriting standards of the loan program. When an applicant for loan funds also qualifies for HOME program funds, the project must satisfy all application requirements of the HOME program adopted by the authority pursuant to rule </w:t>
      </w:r>
      <w:hyperlink r:id="rId10">
        <w:r>
          <w:rPr>
            <w:rStyle w:val="Hyperlink"/>
            <w:rFonts w:ascii="Times New Roman" w:hAnsi="Times New Roman"/>
            <w:b w:val="false"/>
            <w:i w:val="false"/>
            <w:color w:val="000000"/>
            <w:sz w:val="22"/>
          </w:rPr>
          <w:t>265—39.6</w:t>
        </w:r>
      </w:hyperlink>
      <w:r>
        <w:rPr>
          <w:rFonts w:ascii="Times New Roman" w:hAnsi="Times New Roman"/>
          <w:b w:val="false"/>
          <w:i w:val="false"/>
          <w:color w:val="000000"/>
          <w:sz w:val="22"/>
        </w:rPr>
        <w:t>(16). The authority intends to award the available funds under this program each year if applicants meet all applicable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9690B</w:t>
      </w:r>
      <w:r>
        <w:rPr>
          <w:rFonts w:ascii="Times New Roman" w:hAnsi="Times New Roman"/>
          <w:b w:val="false"/>
          <w:i w:val="false"/>
          <w:color w:val="000000"/>
          <w:sz w:val="16"/>
        </w:rPr>
        <w:t>, IAB 8/24/11, effective 8/18/11</w:t>
      </w:r>
      <w:r>
        <w:rPr>
          <w:rFonts w:ascii="Times New Roman" w:hAnsi="Times New Roman"/>
          <w:b w:val="false"/>
          <w:i w:val="false"/>
          <w:color w:val="000000"/>
          <w:sz w:val="16"/>
        </w:rPr>
        <w:t xml:space="preserve">; </w:t>
      </w:r>
      <w:r>
        <w:rPr>
          <w:rFonts w:ascii="Times New Roman" w:hAnsi="Times New Roman"/>
          <w:b/>
          <w:i w:val="false"/>
          <w:color w:val="000000"/>
          <w:sz w:val="16"/>
        </w:rPr>
        <w:t>ARC 9878B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265—43.4</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 xml:space="preserve">The authority anticipates that it will, at least annually, publicize the approximate amount of funds available under this program for the applicable fiscal year on the authority’s Web site at </w:t>
      </w:r>
      <w:hyperlink r:id="rId11">
        <w:r>
          <w:rPr>
            <w:rStyle w:val="Hyperlink"/>
            <w:rFonts w:ascii="Times New Roman" w:hAnsi="Times New Roman"/>
            <w:b w:val="false"/>
            <w:i w:val="false"/>
            <w:color w:val="000000"/>
            <w:sz w:val="22"/>
            <w:u w:val="single"/>
          </w:rPr>
          <w:t>www.iowafinanceauthority.gov</w:t>
        </w:r>
      </w:hyperlink>
      <w:r>
        <w:rPr>
          <w:rFonts w:ascii="Times New Roman" w:hAnsi="Times New Roman"/>
          <w:b w:val="false"/>
          <w:i w:val="false"/>
          <w:color w:val="000000"/>
          <w:sz w:val="22"/>
        </w:rPr>
        <w:t>. Any unallocated or recovered funds, or payments of interest and principal, or any combination thereof, may be awarded or may be carried over to the next year’s cycle of loans at the discretion of the authority. The authority will take such applications from time to time and will analyze and award loans to applicants on an ongoing basis, beginning on or after September 1, 2011. It is the position of the authority that such flexibility in taking and reviewing applications and making awards will best serve to develop and expand community housing and services for Medicaid waiver-eligible individuals.</w:t>
      </w:r>
    </w:p>
    <w:p>
      <w:pPr>
        <w:spacing w:before="0" w:after="0"/>
        <w:ind w:left="120"/>
        <w:jc w:val="both"/>
      </w:pPr>
      <w:r>
        <w:rPr>
          <w:rFonts w:ascii="Times New Roman" w:hAnsi="Times New Roman"/>
          <w:b w:val="false"/>
          <w:i w:val="false"/>
          <w:color w:val="000000"/>
          <w:sz w:val="22"/>
        </w:rPr>
        <w:t>Applicants may apply for joint funding of a project using both HOME program funds and funds loaned pursuant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9690B</w:t>
      </w:r>
      <w:r>
        <w:rPr>
          <w:rFonts w:ascii="Times New Roman" w:hAnsi="Times New Roman"/>
          <w:b w:val="false"/>
          <w:i w:val="false"/>
          <w:color w:val="000000"/>
          <w:sz w:val="16"/>
        </w:rPr>
        <w:t>, IAB 8/24/11, effective 8/18/11</w:t>
      </w:r>
      <w:r>
        <w:rPr>
          <w:rFonts w:ascii="Times New Roman" w:hAnsi="Times New Roman"/>
          <w:b w:val="false"/>
          <w:i w:val="false"/>
          <w:color w:val="000000"/>
          <w:sz w:val="16"/>
        </w:rPr>
        <w:t xml:space="preserve">; </w:t>
      </w:r>
      <w:r>
        <w:rPr>
          <w:rFonts w:ascii="Times New Roman" w:hAnsi="Times New Roman"/>
          <w:b/>
          <w:i w:val="false"/>
          <w:color w:val="000000"/>
          <w:sz w:val="16"/>
        </w:rPr>
        <w:t>ARC 9878B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265—43.5</w:t>
      </w:r>
      <w:r>
        <w:rPr>
          <w:rFonts w:ascii="Times New Roman" w:hAnsi="Times New Roman"/>
          <w:b/>
          <w:i w:val="false"/>
          <w:color w:val="000000"/>
          <w:sz w:val="22"/>
        </w:rPr>
        <w:t xml:space="preserve">(16) </w:t>
      </w:r>
      <w:r>
        <w:rPr>
          <w:rFonts w:ascii="Times New Roman" w:hAnsi="Times New Roman"/>
          <w:b/>
          <w:i w:val="false"/>
          <w:color w:val="000000"/>
          <w:sz w:val="22"/>
        </w:rPr>
        <w:t xml:space="preserve">Program guidelines. </w:t>
      </w:r>
      <w:r>
        <w:rPr>
          <w:rFonts w:ascii="Times New Roman" w:hAnsi="Times New Roman"/>
          <w:b w:val="false"/>
          <w:i w:val="false"/>
          <w:color w:val="000000"/>
          <w:sz w:val="22"/>
        </w:rPr>
        <w:t>For-profit and nonprofit sponsors are eligible to apply for assistance under this program based on the following program guidelines; however, prior to submission of the loan application, a service provider must receive approval of a service plan to benefit the Medicaid waiver-eligible individuals who reside in the project. The service provider may apply for the loan fund; however, the service provider does not have to be the applicant for the loan fund. If the service provider is not the loan applicant, a memorandum of understanding must exist between the loan applicant and the service provider which shows an obligation on behalf of the service provider to deliver services to the Medicaid waiver-eligible individuals residing in the project and which shows that the loan applicant is obligated to offer housing to the Medicaid waiver-eligible individuals who need the services provided by the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w:t>
      </w:r>
      <w:r>
        <w:rPr>
          <w:rFonts w:ascii="Times New Roman" w:hAnsi="Times New Roman"/>
          <w:b w:val="false"/>
          <w:i w:val="false"/>
          <w:color w:val="000000"/>
          <w:sz w:val="22"/>
        </w:rPr>
        <w:t> </w:t>
      </w:r>
      <w:r>
        <w:rPr>
          <w:rFonts w:ascii="Times New Roman" w:hAnsi="Times New Roman"/>
          <w:b w:val="false"/>
          <w:i w:val="false"/>
          <w:color w:val="000000"/>
          <w:sz w:val="22"/>
        </w:rPr>
        <w:t>Projects eligible for assistance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approval must be obtained from the department for the proposed project prior to application for loan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be approved by the department, the project must demonstrate all of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project serves one of the following Medicaid waiver-eligible populations: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Individuals who are currently underserved in community settings, including individuals who are physically aggressive or have behaviors that are difficult to manage or individuals who meet the PMIC level of care;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Individuals who are currently placed out of state by the department;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Individuals who are currently receiving care in an Iowa-licensed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plan to provide each Medicaid waiver-eligible individual with crisis stabilization services to ensure that the individual’s behavioral issues are appropriately addressed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that prohibit discharge of the Medicaid waiver-eligible individual from the waiver services provided by the project provider unless an alternative placement that is acceptable to the individual or the individual’s guardian is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order to be approved by the department for application for funding for development of infrastructure in which to provide supportive services under this chapter, a project shall include all of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Provision of services to Medicaid waiver-eligible individuals who meet the PMIC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that prohibit discharge of the Medicaid waiver-eligible individual from the waiver services provided by the project provider unless an alternative placement that is acceptable to the individual or the individual’s guardian is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w:t>
      </w:r>
      <w:r>
        <w:rPr>
          <w:rFonts w:ascii="Times New Roman" w:hAnsi="Times New Roman"/>
          <w:b w:val="false"/>
          <w:i w:val="false"/>
          <w:color w:val="000000"/>
          <w:sz w:val="22"/>
        </w:rPr>
        <w:t> </w:t>
      </w:r>
      <w:r>
        <w:rPr>
          <w:rFonts w:ascii="Times New Roman" w:hAnsi="Times New Roman"/>
          <w:b w:val="false"/>
          <w:i w:val="false"/>
          <w:color w:val="000000"/>
          <w:sz w:val="22"/>
        </w:rPr>
        <w:t>The following types of activities are eligible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Acquisition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Such other similar activities as may be determined by the authority to fall within the guidelines and purposes established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w:t>
      </w:r>
      <w:r>
        <w:rPr>
          <w:rFonts w:ascii="Times New Roman" w:hAnsi="Times New Roman"/>
          <w:b w:val="false"/>
          <w:i w:val="false"/>
          <w:color w:val="000000"/>
          <w:sz w:val="22"/>
        </w:rPr>
        <w:t> </w:t>
      </w:r>
      <w:r>
        <w:rPr>
          <w:rFonts w:ascii="Times New Roman" w:hAnsi="Times New Roman"/>
          <w:b w:val="false"/>
          <w:i w:val="false"/>
          <w:color w:val="000000"/>
          <w:sz w:val="22"/>
        </w:rPr>
        <w:t>Assistance will be provided upon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Generally, the minimum loan amount is $50,000, and the maximum loan amount is $500,000. The maximum loan term and amortization period are each 30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debt service ratio must be at least 1.25:1 for the authority’s first mortgage, as calculated by the authority. In addition, the loan-to-value ratio of the project, as calculated by the authority, will be considered. Notwithstanding the above, the authority may, in its sole discretion, accept a lower debt service ratio based on the final underwriting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Interest rates will be set by the authority, in its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Loans shall be secured by a first mortgage, to the extent possible. Construction financing may be awarded to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Recipients of assistance must agree to observe several covenants and restrictions all in accordance with such loan and mortgage documents as may be required by the authority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recipient must provide adequate evidence that its title in the real estate on which the project is to be located is a marketable title pursuant to Iowa Land Title Examination Standards, or other applicable law. Adequate evidence of marketable title is demonstrated by either (1) a title opinion of an attorney authorized to practice law in Iowa showing that the loan recipient has marketable title, or (2) a title guaranty certificate issued by the title guaranty division of the Iowa finance authority showing the recipient as the guaranteed.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Recipients must execute such documents and instruments and must provide such information, certificates and other items as determined necessary by the authority, in its sole discretion, in connection with any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43.5(4)</w:t>
      </w:r>
      <w:r>
        <w:rPr>
          <w:rFonts w:ascii="Times New Roman" w:hAnsi="Times New Roman"/>
          <w:b w:val="false"/>
          <w:i w:val="false"/>
          <w:color w:val="000000"/>
          <w:sz w:val="22"/>
        </w:rPr>
        <w:t> </w:t>
      </w:r>
      <w:r>
        <w:rPr>
          <w:rFonts w:ascii="Times New Roman" w:hAnsi="Times New Roman"/>
          <w:b w:val="false"/>
          <w:i w:val="false"/>
          <w:color w:val="000000"/>
          <w:sz w:val="22"/>
        </w:rPr>
        <w:t>Loan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Loan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fee – 0.3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Commitment fee (construction period) – 1.0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Commitment fee (permanent loan) – 2.0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Inspection fee (construction loan) – 0.5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may, in limited cases, reduce such fees if necessary in connection with assistance provided under this program. Such decision will be made in the sole discretion of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9690B</w:t>
      </w:r>
      <w:r>
        <w:rPr>
          <w:rFonts w:ascii="Times New Roman" w:hAnsi="Times New Roman"/>
          <w:b w:val="false"/>
          <w:i w:val="false"/>
          <w:color w:val="000000"/>
          <w:sz w:val="16"/>
        </w:rPr>
        <w:t>, IAB 8/24/11, effective 8/18/11</w:t>
      </w:r>
      <w:r>
        <w:rPr>
          <w:rFonts w:ascii="Times New Roman" w:hAnsi="Times New Roman"/>
          <w:b w:val="false"/>
          <w:i w:val="false"/>
          <w:color w:val="000000"/>
          <w:sz w:val="16"/>
        </w:rPr>
        <w:t xml:space="preserve">; </w:t>
      </w:r>
      <w:r>
        <w:rPr>
          <w:rFonts w:ascii="Times New Roman" w:hAnsi="Times New Roman"/>
          <w:b/>
          <w:i w:val="false"/>
          <w:color w:val="000000"/>
          <w:sz w:val="16"/>
        </w:rPr>
        <w:t>ARC 9878B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265—43.6</w:t>
      </w:r>
      <w:r>
        <w:rPr>
          <w:rFonts w:ascii="Times New Roman" w:hAnsi="Times New Roman"/>
          <w:b/>
          <w:i w:val="false"/>
          <w:color w:val="000000"/>
          <w:sz w:val="22"/>
        </w:rPr>
        <w:t xml:space="preserve">(16) </w:t>
      </w:r>
      <w:r>
        <w:rPr>
          <w:rFonts w:ascii="Times New Roman" w:hAnsi="Times New Roman"/>
          <w:b/>
          <w:i w:val="false"/>
          <w:color w:val="000000"/>
          <w:sz w:val="22"/>
        </w:rPr>
        <w:t xml:space="preserve">Authority analysis of applications. </w:t>
      </w:r>
      <w:r>
        <w:rPr>
          <w:rFonts w:ascii="Times New Roman" w:hAnsi="Times New Roman"/>
          <w:b w:val="false"/>
          <w:i w:val="false"/>
          <w:color w:val="000000"/>
          <w:sz w:val="22"/>
        </w:rPr>
        <w:t>Authority staff will analyze and underwrite each potential project and will make recommendations for funding assistance to the authority board of directors. Authority staff will use such procedures and processes in its underwriting and analysis as it deems necessary and appropriate in connection with furthering the purposes of this program. In addition, the authority anticipates that, because of the complex nature of each transaction and the particular set of circumstances attributable to each particular application/transaction, the terms and conditions of loans will vary from project to project. The authority will make available its general operating procedures and guidelines for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9690B</w:t>
      </w:r>
      <w:r>
        <w:rPr>
          <w:rFonts w:ascii="Times New Roman" w:hAnsi="Times New Roman"/>
          <w:b w:val="false"/>
          <w:i w:val="false"/>
          <w:color w:val="000000"/>
          <w:sz w:val="16"/>
        </w:rPr>
        <w:t>, IAB 8/24/11, effective 8/18/11</w:t>
      </w:r>
      <w:r>
        <w:rPr>
          <w:rFonts w:ascii="Times New Roman" w:hAnsi="Times New Roman"/>
          <w:b w:val="false"/>
          <w:i w:val="false"/>
          <w:color w:val="000000"/>
          <w:sz w:val="16"/>
        </w:rPr>
        <w:t xml:space="preserve">; </w:t>
      </w:r>
      <w:r>
        <w:rPr>
          <w:rFonts w:ascii="Times New Roman" w:hAnsi="Times New Roman"/>
          <w:b/>
          <w:i w:val="false"/>
          <w:color w:val="000000"/>
          <w:sz w:val="16"/>
        </w:rPr>
        <w:t>ARC 9878B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265—43.7</w:t>
      </w:r>
      <w:r>
        <w:rPr>
          <w:rFonts w:ascii="Times New Roman" w:hAnsi="Times New Roman"/>
          <w:b/>
          <w:i w:val="false"/>
          <w:color w:val="000000"/>
          <w:sz w:val="22"/>
        </w:rPr>
        <w:t xml:space="preserve">(16) </w:t>
      </w:r>
      <w:r>
        <w:rPr>
          <w:rFonts w:ascii="Times New Roman" w:hAnsi="Times New Roman"/>
          <w:b/>
          <w:i w:val="false"/>
          <w:color w:val="000000"/>
          <w:sz w:val="22"/>
        </w:rPr>
        <w:t xml:space="preserve">Discretion of authority board. </w:t>
      </w:r>
      <w:r>
        <w:rPr>
          <w:rFonts w:ascii="Times New Roman" w:hAnsi="Times New Roman"/>
          <w:b w:val="false"/>
          <w:i w:val="false"/>
          <w:color w:val="000000"/>
          <w:sz w:val="22"/>
        </w:rPr>
        <w:t>The authority board of directors has the sole and final discretion to award or not to award assistance and to approve final loan terms.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9690B</w:t>
      </w:r>
      <w:r>
        <w:rPr>
          <w:rFonts w:ascii="Times New Roman" w:hAnsi="Times New Roman"/>
          <w:b w:val="false"/>
          <w:i w:val="false"/>
          <w:color w:val="000000"/>
          <w:sz w:val="16"/>
        </w:rPr>
        <w:t>, IAB 8/24/11, effective 8/18/11</w:t>
      </w:r>
      <w:r>
        <w:rPr>
          <w:rFonts w:ascii="Times New Roman" w:hAnsi="Times New Roman"/>
          <w:b w:val="false"/>
          <w:i w:val="false"/>
          <w:color w:val="000000"/>
          <w:sz w:val="16"/>
        </w:rPr>
        <w:t xml:space="preserve">; </w:t>
      </w:r>
      <w:r>
        <w:rPr>
          <w:rFonts w:ascii="Times New Roman" w:hAnsi="Times New Roman"/>
          <w:b/>
          <w:i w:val="false"/>
          <w:color w:val="000000"/>
          <w:sz w:val="16"/>
        </w:rPr>
        <w:t>ARC 9878B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265—43.8</w:t>
      </w:r>
      <w:r>
        <w:rPr>
          <w:rFonts w:ascii="Times New Roman" w:hAnsi="Times New Roman"/>
          <w:b/>
          <w:i w:val="false"/>
          <w:color w:val="000000"/>
          <w:sz w:val="22"/>
        </w:rPr>
        <w:t xml:space="preserve">(16) </w:t>
      </w:r>
      <w:r>
        <w:rPr>
          <w:rFonts w:ascii="Times New Roman" w:hAnsi="Times New Roman"/>
          <w:b/>
          <w:i w:val="false"/>
          <w:color w:val="000000"/>
          <w:sz w:val="22"/>
        </w:rPr>
        <w:t xml:space="preserve">Closing/advance of funds. </w:t>
      </w:r>
      <w:r>
        <w:rPr>
          <w:rFonts w:ascii="Times New Roman" w:hAnsi="Times New Roman"/>
          <w:b w:val="false"/>
          <w:i w:val="false"/>
          <w:color w:val="000000"/>
          <w:sz w:val="22"/>
        </w:rPr>
        <w:t>If all requirements of the authority are not met in accordance with any time frames set by the authority and to the complete satisfaction of the authority, all in the sole discretion of the authority, the authority may determine to cease work on an approved project and, accordingly, not advance any funds for such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9690B</w:t>
      </w:r>
      <w:r>
        <w:rPr>
          <w:rFonts w:ascii="Times New Roman" w:hAnsi="Times New Roman"/>
          <w:b w:val="false"/>
          <w:i w:val="false"/>
          <w:color w:val="000000"/>
          <w:sz w:val="16"/>
        </w:rPr>
        <w:t>, IAB 8/24/11, effective 8/18/11</w:t>
      </w:r>
      <w:r>
        <w:rPr>
          <w:rFonts w:ascii="Times New Roman" w:hAnsi="Times New Roman"/>
          <w:b w:val="false"/>
          <w:i w:val="false"/>
          <w:color w:val="000000"/>
          <w:sz w:val="16"/>
        </w:rPr>
        <w:t xml:space="preserve">; </w:t>
      </w:r>
      <w:r>
        <w:rPr>
          <w:rFonts w:ascii="Times New Roman" w:hAnsi="Times New Roman"/>
          <w:b/>
          <w:i w:val="false"/>
          <w:color w:val="000000"/>
          <w:sz w:val="16"/>
        </w:rPr>
        <w:t>ARC 9878B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16.5(1)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16.49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9690B, IAB 8/24/11, effective 8/18/11]</w:t>
      </w:r>
    </w:p>
    <w:p>
      <w:pPr>
        <w:spacing w:before="0" w:after="0"/>
        <w:ind w:left="120"/>
        <w:jc w:val="center"/>
      </w:pPr>
      <w:r>
        <w:rPr>
          <w:rFonts w:ascii="Times New Roman" w:hAnsi="Times New Roman"/>
          <w:b w:val="false"/>
          <w:i w:val="false"/>
          <w:color w:val="000000"/>
          <w:sz w:val="21"/>
        </w:rPr>
        <w:t>[Filed ARC 9878B</w:t>
      </w:r>
      <w:r>
        <w:rPr>
          <w:rFonts w:ascii="Times New Roman" w:hAnsi="Times New Roman"/>
          <w:b w:val="false"/>
          <w:i w:val="false"/>
          <w:color w:val="000000"/>
          <w:sz w:val="21"/>
        </w:rPr>
        <w:t xml:space="preserve"> (Notice ARC 9692B, IAB 8/24/11)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2008C</w:t>
      </w:r>
      <w:r>
        <w:rPr>
          <w:rFonts w:ascii="Times New Roman" w:hAnsi="Times New Roman"/>
          <w:b w:val="false"/>
          <w:i w:val="false"/>
          <w:color w:val="000000"/>
          <w:sz w:val="21"/>
        </w:rPr>
        <w:t xml:space="preserve"> (Notice ARC 1903C, IAB 3/4/15)</w:t>
      </w:r>
      <w:r>
        <w:rPr>
          <w:rFonts w:ascii="Times New Roman" w:hAnsi="Times New Roman"/>
          <w:b w:val="false"/>
          <w:i w:val="false"/>
          <w:color w:val="000000"/>
          <w:sz w:val="21"/>
        </w:rPr>
        <w:t>, IAB 5/27/15, effective 7/1/15]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5.pdf" Type="http://schemas.openxmlformats.org/officeDocument/2006/relationships/hyperlink" Id="rId5"/>
    <Relationship TargetMode="External" Target="https://www.legis.iowa.gov/docs/ico/chapter/16.49.pdf" Type="http://schemas.openxmlformats.org/officeDocument/2006/relationships/hyperlink" Id="rId6"/>
    <Relationship TargetMode="External" Target="https://www.legis.iowa.gov/docs/ico/chapter/16.49.pdf" Type="http://schemas.openxmlformats.org/officeDocument/2006/relationships/hyperlink" Id="rId7"/>
    <Relationship TargetMode="External" Target="https://www.legis.iowa.gov/docs/ico/chapter/135O.pdf" Type="http://schemas.openxmlformats.org/officeDocument/2006/relationships/hyperlink" Id="rId8"/>
    <Relationship TargetMode="External" Target="https://www.legis.iowa.gov/docs/iac/chapter/441.83.pdf" Type="http://schemas.openxmlformats.org/officeDocument/2006/relationships/hyperlink" Id="rId9"/>
    <Relationship TargetMode="External" Target="https://www.legis.iowa.gov/docs/iac/rule/265.39.6.pdf" Type="http://schemas.openxmlformats.org/officeDocument/2006/relationships/hyperlink" Id="rId10"/>
    <Relationship TargetMode="External" Target="www.iowafinanceauthority.gov" Type="http://schemas.openxmlformats.org/officeDocument/2006/relationships/hyperlink" Id="rId11"/>
    <Relationship TargetMode="External" Target="https://www.legis.iowa.gov/docs/ico/chapter/16.5.pdf" Type="http://schemas.openxmlformats.org/officeDocument/2006/relationships/hyperlink" Id="rId12"/>
    <Relationship TargetMode="External" Target="https://www.legis.iowa.gov/docs/ico/chapter/16.49.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