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SHELTER ASSISTANCE FUND</w:t>
      </w:r>
    </w:p>
    <w:p>
      <w:pPr>
        <w:spacing w:before="0" w:after="0"/>
        <w:ind w:left="120"/>
        <w:jc w:val="center"/>
      </w:pPr>
      <w:r>
        <w:rPr>
          <w:rFonts w:ascii="Times New Roman" w:hAnsi="Times New Roman"/>
          <w:b w:val="false"/>
          <w:i w:val="false"/>
          <w:color w:val="000000"/>
          <w:sz w:val="14"/>
        </w:rPr>
        <w:t>[Prior to 10/20/10, see 261—Ch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265—41.1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shelter assistance fund is created to support the costs of operations of shelters for the homeless and domestic violence shelters, essential services for the homeless, and evaluation and reporting of services for the homeless.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3426C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eligible provider of homeless services which is applying for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violence shelter” </w:t>
      </w:r>
      <w:r>
        <w:rPr>
          <w:rFonts w:ascii="Times New Roman" w:hAnsi="Times New Roman"/>
          <w:b w:val="false"/>
          <w:i w:val="false"/>
          <w:color w:val="000000"/>
          <w:sz w:val="22"/>
        </w:rPr>
        <w:t>means a homeless shelter primarily or exclusively serving clients who are homeless due to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“ESG” </w:t>
      </w:r>
      <w:r>
        <w:rPr>
          <w:rFonts w:ascii="Times New Roman" w:hAnsi="Times New Roman"/>
          <w:b w:val="false"/>
          <w:i w:val="false"/>
          <w:color w:val="000000"/>
          <w:sz w:val="22"/>
        </w:rPr>
        <w:t>means the Emergency Solutions Grant Program created pursuant to Title 42 of the U.S. Code (42 U.S.C. Section 11375) as well as parts of Title 24 of the Code of Federal Regulations (24 CFR Part 576).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“HMIS” </w:t>
      </w:r>
      <w:r>
        <w:rPr>
          <w:rFonts w:ascii="Times New Roman" w:hAnsi="Times New Roman"/>
          <w:b w:val="false"/>
          <w:i w:val="false"/>
          <w:color w:val="000000"/>
          <w:sz w:val="22"/>
        </w:rPr>
        <w:t>means the Homeless Management Information System, which is a client-level data collection and management system implemented at the community level that allows for better coordination among agencies providing services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“homeless individual” </w:t>
      </w:r>
      <w:r>
        <w:rPr>
          <w:rFonts w:ascii="Times New Roman" w:hAnsi="Times New Roman"/>
          <w:b w:val="false"/>
          <w:i w:val="false"/>
          <w:color w:val="000000"/>
          <w:sz w:val="22"/>
        </w:rPr>
        <w:t>shall have the meaning set forth in 24 CFR Part 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shelter” </w:t>
      </w:r>
      <w:r>
        <w:rPr>
          <w:rFonts w:ascii="Times New Roman" w:hAnsi="Times New Roman"/>
          <w:b w:val="false"/>
          <w:i w:val="false"/>
          <w:color w:val="000000"/>
          <w:sz w:val="22"/>
        </w:rPr>
        <w:t xml:space="preserve">means a facility which provides temporary shelter with overnight sleeping accommodations for homeless persons and which does not require occupants to sign leases or occupancy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organization” </w:t>
      </w:r>
      <w:r>
        <w:rPr>
          <w:rFonts w:ascii="Times New Roman" w:hAnsi="Times New Roman"/>
          <w:b w:val="false"/>
          <w:i w:val="false"/>
          <w:color w:val="000000"/>
          <w:sz w:val="22"/>
        </w:rPr>
        <w:t>means an organization: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part of the net earnings of which inure to the benefit of any member, founder, contributor, or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has a voluntary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has a functioning accounting system or has designated a fiscal agent that will maintain a functioning accounting system for the organization;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practices nondiscrimination in the provision of assistance;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That has registered with the state of Iowa as a nonprofit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participant” </w:t>
      </w:r>
      <w:r>
        <w:rPr>
          <w:rFonts w:ascii="Times New Roman" w:hAnsi="Times New Roman"/>
          <w:b w:val="false"/>
          <w:i w:val="false"/>
          <w:color w:val="000000"/>
          <w:sz w:val="22"/>
        </w:rPr>
        <w:t>means any person or family who is homeless or at risk of becoming homeless and who seeks assistance from a recipient and is provided assistance utilizing SAF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any organization to which IFA distributes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 </w:t>
      </w:r>
      <w:r>
        <w:rPr>
          <w:rFonts w:ascii="Times New Roman" w:hAnsi="Times New Roman"/>
          <w:b w:val="false"/>
          <w:i w:val="false"/>
          <w:color w:val="000000"/>
          <w:sz w:val="22"/>
        </w:rPr>
        <w:t xml:space="preserve">means shelter assistance fund according to Iowa Code section </w:t>
      </w:r>
      <w:hyperlink r:id="rId5">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0183C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3426C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City governments, county governments, local public housing authorities, instrumentalities of government, and nonprofit organizations are eligible applicants under the SAF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Eligible activities may include the following, where the activities are necessary to assist program participants: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Normal operating expenses for homeless and domestic violence shelters, including staff salaries, maintenance (including minor or routine repairs), rent, security, fuel, equipment, insurance, utilities, food, furnishings, and supplies necessary for the operation of the shelter. Where no appropriate shelter is available for a homeless family or individual, eligible costs may also include a hotel or motel voucher for that family or individual. Eligible costs may also include the costs of third-party agencies’ providing food either to one or more shelters or directly to program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Essential services for individuals and families in homeless and domestic violence shelters, including case management, child care, education services, employment assistance and job training, outpatient health services (to the extent that such health services are otherwise unavailable), legal services, life skills training, mental health services (to the extent that such mental health services are otherwise unavailable), substance abuse treatment services (to the extent that such substance abuse treatment is otherwise unavailable), and transportation (transportation that is necessary to provide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Evaluation of services for the homeless, including the implementation of the HMIS.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3426C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265—41.5</w:t>
      </w:r>
      <w:r>
        <w:rPr>
          <w:rFonts w:ascii="Times New Roman" w:hAnsi="Times New Roman"/>
          <w:b/>
          <w:i w:val="false"/>
          <w:color w:val="000000"/>
          <w:sz w:val="22"/>
        </w:rPr>
        <w:t xml:space="preserve">(16) </w:t>
      </w:r>
      <w:r>
        <w:rPr>
          <w:rFonts w:ascii="Times New Roman" w:hAnsi="Times New Roman"/>
          <w:b/>
          <w:i w:val="false"/>
          <w:color w:val="000000"/>
          <w:sz w:val="22"/>
        </w:rPr>
        <w:t xml:space="preserve">Ineligible activities. </w:t>
      </w:r>
      <w:r>
        <w:rPr>
          <w:rFonts w:ascii="Times New Roman" w:hAnsi="Times New Roman"/>
          <w:b w:val="false"/>
          <w:i w:val="false"/>
          <w:color w:val="000000"/>
          <w:sz w:val="22"/>
        </w:rPr>
        <w:t xml:space="preserve">As a general rule, any activity that is not authorized under the provisions of rule </w:t>
      </w:r>
      <w:hyperlink r:id="rId6">
        <w:r>
          <w:rPr>
            <w:rStyle w:val="Hyperlink"/>
            <w:rFonts w:ascii="Times New Roman" w:hAnsi="Times New Roman"/>
            <w:b w:val="false"/>
            <w:i w:val="false"/>
            <w:color w:val="000000"/>
            <w:sz w:val="22"/>
          </w:rPr>
          <w:t>265—41.4</w:t>
        </w:r>
      </w:hyperlink>
      <w:r>
        <w:rPr>
          <w:rFonts w:ascii="Times New Roman" w:hAnsi="Times New Roman"/>
          <w:b w:val="false"/>
          <w:i w:val="false"/>
          <w:color w:val="000000"/>
          <w:sz w:val="22"/>
        </w:rPr>
        <w:t>(16) is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IFA shall issue requests for applications periodically, as long as funds are available. Requests for applications may combine the ESG program with the SAF program. The applications shall be submitted on the forms or online system prescribed by IFA. Application requirements, priorities, and maximum and minimum grant awards will be established by IFA for each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9642B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9828B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0183C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3426C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265—41.7</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process. </w:t>
      </w:r>
      <w:r>
        <w:rPr>
          <w:rFonts w:ascii="Times New Roman" w:hAnsi="Times New Roman"/>
          <w:b w:val="false"/>
          <w:i w:val="false"/>
          <w:color w:val="000000"/>
          <w:sz w:val="22"/>
        </w:rPr>
        <w:t>The following procedures will be used in the review of applications for most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Review; threshold criteria; eligible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Review of applications. </w:t>
      </w:r>
      <w:r>
        <w:rPr>
          <w:rFonts w:ascii="Times New Roman" w:hAnsi="Times New Roman"/>
          <w:b w:val="false"/>
          <w:i w:val="false"/>
          <w:color w:val="000000"/>
          <w:sz w:val="22"/>
        </w:rPr>
        <w:t>Applications will be reviewed by a panel appointed by IFA. Applications will be reviewed based on priorities established during each competition round. Review criteria include, but are not limited to, program design, applicant experience and capacity, community partnerships and need, performance, and budget and grant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IFA will identify threshold criteria that all programs are required to meet in order to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Activities eligible during funding cycle. </w:t>
      </w:r>
      <w:r>
        <w:rPr>
          <w:rFonts w:ascii="Times New Roman" w:hAnsi="Times New Roman"/>
          <w:b w:val="false"/>
          <w:i w:val="false"/>
          <w:color w:val="000000"/>
          <w:sz w:val="22"/>
        </w:rPr>
        <w:t>Each competition round will specify which of the total eligible program activities will be supported.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If an application contains an activity determined to be ineligible, at IFA’s discretion, the ineligible activity may be deleted from the application or the application may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Before making final funding recommendations, IFA may review applications with other state agencies or other groups with expertise in the area of serving homeless persons. Consultation with other agencies is intended to avoid duplication and promote maximum utilization of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val="false"/>
          <w:color w:val="000000"/>
          <w:sz w:val="22"/>
        </w:rPr>
        <w:t>Based on the review process, IFA may revise the overall funding request by activity or funding level and recommend a final funding figure to the IFA board of directors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val="false"/>
          <w:color w:val="000000"/>
          <w:sz w:val="22"/>
        </w:rPr>
        <w:t>IFA shall establish the period of funding for each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265—41.8</w:t>
      </w:r>
      <w:r>
        <w:rPr>
          <w:rFonts w:ascii="Times New Roman" w:hAnsi="Times New Roman"/>
          <w:b/>
          <w:i w:val="false"/>
          <w:color w:val="000000"/>
          <w:sz w:val="22"/>
        </w:rPr>
        <w:t xml:space="preserve">(16) </w:t>
      </w:r>
      <w:r>
        <w:rPr>
          <w:rFonts w:ascii="Times New Roman" w:hAnsi="Times New Roman"/>
          <w:b/>
          <w:i w:val="false"/>
          <w:color w:val="000000"/>
          <w:sz w:val="22"/>
        </w:rPr>
        <w:t xml:space="preserve">Matching contributions. </w:t>
      </w:r>
      <w:r>
        <w:rPr>
          <w:rFonts w:ascii="Times New Roman" w:hAnsi="Times New Roman"/>
          <w:b w:val="false"/>
          <w:i w:val="false"/>
          <w:color w:val="000000"/>
          <w:sz w:val="22"/>
        </w:rPr>
        <w:t>IFA reserves the right to designate a portion or all of SAF funds to be used toward the matching contributions requirement imposed by HUD for ESG funds received by the state of Iowa. If SAF funds are designated as ESG matching contributions, they may not also be available to meet matching requirements of other grant moneys received by recipients. Recipients will be informed if SAF funds have been used toward the ESG matching requirement and will be responsible for ensuring compliance with the matching requirements of other grant programs. The designation of any portion of SAF funds as ESG matching contributions does not change the amount, type, or recipient of any award; rather, it solely impacts a SAF grantee’s potential to use SAF grant funds to meet the matching requirements of certain other grant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0183C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265—41.9</w:t>
      </w:r>
      <w:r>
        <w:rPr>
          <w:rFonts w:ascii="Times New Roman" w:hAnsi="Times New Roman"/>
          <w:b/>
          <w:i w:val="false"/>
          <w:color w:val="000000"/>
          <w:sz w:val="22"/>
        </w:rPr>
        <w:t xml:space="preserve">(16) </w:t>
      </w:r>
      <w:r>
        <w:rPr>
          <w:rFonts w:ascii="Times New Roman" w:hAnsi="Times New Roman"/>
          <w:b/>
          <w:i w:val="false"/>
          <w:color w:val="000000"/>
          <w:sz w:val="22"/>
        </w:rPr>
        <w:t xml:space="preserve">Funding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IFA board of directors authorizes funding awards during each application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Right to negotiate. </w:t>
      </w:r>
      <w:r>
        <w:rPr>
          <w:rFonts w:ascii="Times New Roman" w:hAnsi="Times New Roman"/>
          <w:b w:val="false"/>
          <w:i w:val="false"/>
          <w:color w:val="000000"/>
          <w:sz w:val="22"/>
        </w:rPr>
        <w:t>IFA reserves the right to negotiate the amount of the funding award, the scale of the project, and alternative methods for completing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Special purpose awards. </w:t>
      </w:r>
      <w:r>
        <w:rPr>
          <w:rFonts w:ascii="Times New Roman" w:hAnsi="Times New Roman"/>
          <w:b w:val="false"/>
          <w:i w:val="false"/>
          <w:color w:val="000000"/>
          <w:sz w:val="22"/>
        </w:rPr>
        <w:t>IFA may, at its discretion, make funding awards for evaluation of services for the homeless, including the implementation of the HMIS, apart from the application procedures and application review process for other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265—41.10</w:t>
      </w:r>
      <w:r>
        <w:rPr>
          <w:rFonts w:ascii="Times New Roman" w:hAnsi="Times New Roman"/>
          <w:b/>
          <w:i w:val="false"/>
          <w:color w:val="000000"/>
          <w:sz w:val="22"/>
        </w:rPr>
        <w:t xml:space="preserve">(16) </w:t>
      </w:r>
      <w:r>
        <w:rPr>
          <w:rFonts w:ascii="Times New Roman" w:hAnsi="Times New Roman"/>
          <w:b/>
          <w:i w:val="false"/>
          <w:color w:val="000000"/>
          <w:sz w:val="22"/>
        </w:rPr>
        <w:t xml:space="preserve">Requirements placed on recipients.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color w:val="000000"/>
          <w:sz w:val="22"/>
        </w:rPr>
        <w:t xml:space="preserve">Participation by homeless individuals and families. </w:t>
      </w:r>
      <w:r>
        <w:rPr>
          <w:rFonts w:ascii="Times New Roman" w:hAnsi="Times New Roman"/>
          <w:b w:val="false"/>
          <w:i w:val="false"/>
          <w:color w:val="000000"/>
          <w:sz w:val="22"/>
        </w:rPr>
        <w:t>To the maximum extent possible, SAF program recipients are required to involve, through employment, volunteer services, or otherwise, homeless individuals and families in constructing, renovating, maintaining, and operating facilities assisted with SAF funds, in providing services assisted with SAF funds, and in providing services for occupants of facilities assisted with SAF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assistance and grievance procedure. </w:t>
      </w:r>
      <w:r>
        <w:rPr>
          <w:rFonts w:ascii="Times New Roman" w:hAnsi="Times New Roman"/>
          <w:b w:val="false"/>
          <w:i w:val="false"/>
          <w:color w:val="000000"/>
          <w:sz w:val="22"/>
        </w:rPr>
        <w:t>Recipients shall establish and implement a formal process to terminate assistance to individuals or families who violate program requirements. This process shall include a hearing that provides individuals a full opportunity to address issues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w:t>
      </w:r>
      <w:r>
        <w:rPr>
          <w:rFonts w:ascii="Times New Roman" w:hAnsi="Times New Roman"/>
          <w:b w:val="false"/>
          <w:i w:val="false"/>
          <w:color w:val="000000"/>
          <w:sz w:val="22"/>
        </w:rPr>
        <w:t> </w:t>
      </w:r>
      <w:r>
        <w:rPr>
          <w:rFonts w:ascii="Times New Roman" w:hAnsi="Times New Roman"/>
          <w:b w:val="false"/>
          <w:i/>
          <w:color w:val="000000"/>
          <w:sz w:val="22"/>
        </w:rPr>
        <w:t xml:space="preserve">Data reporting system. </w:t>
      </w:r>
      <w:r>
        <w:rPr>
          <w:rFonts w:ascii="Times New Roman" w:hAnsi="Times New Roman"/>
          <w:b w:val="false"/>
          <w:i w:val="false"/>
          <w:color w:val="000000"/>
          <w:sz w:val="22"/>
        </w:rPr>
        <w:t>Recipients shall participate in the HUD-approved HMIS adopted by IFA as required in the executed contract, unless the recipient qualifies as a domestic violence shelter, in which case the recipient shall participate in required data collection and reporting activities using a comparable database as defined by HUD.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41.10(4)</w:t>
      </w:r>
      <w:r>
        <w:rPr>
          <w:rFonts w:ascii="Times New Roman" w:hAnsi="Times New Roman"/>
          <w:b w:val="false"/>
          <w:i w:val="false"/>
          <w:color w:val="000000"/>
          <w:sz w:val="22"/>
        </w:rPr>
        <w:t> </w:t>
      </w:r>
      <w:r>
        <w:rPr>
          <w:rFonts w:ascii="Times New Roman" w:hAnsi="Times New Roman"/>
          <w:b w:val="false"/>
          <w:i/>
          <w:color w:val="000000"/>
          <w:sz w:val="22"/>
        </w:rPr>
        <w:t xml:space="preserve">Ensuring confidentiality. </w:t>
      </w:r>
      <w:r>
        <w:rPr>
          <w:rFonts w:ascii="Times New Roman" w:hAnsi="Times New Roman"/>
          <w:b w:val="false"/>
          <w:i w:val="false"/>
          <w:color w:val="000000"/>
          <w:sz w:val="22"/>
        </w:rPr>
        <w:t>Recipients shall develop and implement procedures to guarantee the confidentiality of records pertaining to any individual to whom family violence prevention or treatment services are provided. In addition, the address or location of any family violence shelter shall not be disclosed to any person except with written authorization of the shelter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religious organizations. </w:t>
      </w:r>
      <w:r>
        <w:rPr>
          <w:rFonts w:ascii="Times New Roman" w:hAnsi="Times New Roman"/>
          <w:b w:val="false"/>
          <w:i w:val="false"/>
          <w:color w:val="000000"/>
          <w:sz w:val="22"/>
        </w:rPr>
        <w:t>Recipients shall not engage in religious proselytizing or counseling using SAF funds, nor require attendance at religious services as a requirement or condition to receive assistance with SAF funds, nor limit services or give preference to persons seeking assistance with SAF funds on the basis of religion.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involuntary family separation. </w:t>
      </w:r>
      <w:r>
        <w:rPr>
          <w:rFonts w:ascii="Times New Roman" w:hAnsi="Times New Roman"/>
          <w:b w:val="false"/>
          <w:i w:val="false"/>
          <w:color w:val="000000"/>
          <w:sz w:val="22"/>
        </w:rPr>
        <w:t>If a shelter provides services to families with children under the age of 18, the age of a child under the age of 18 shall not be used as a basis for denying any family’s admission to shelter.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w:t>
      </w: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Recipients shall follow the federal rules for lead-based paint, including the Lead-Based Paint Poisoning Prevention Act (42 U.S.C. 4821-4846), the Residential Lead-Based Paint Hazard Reduction Act of 1992 (42 U.S.C. 4851-4856), and implementing regulations in 24 CFR Part 35, Subparts A, B, H, J, K, M, and R, which apply to all shelters occupied by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w:t>
      </w:r>
      <w:r>
        <w:rPr>
          <w:rFonts w:ascii="Times New Roman" w:hAnsi="Times New Roman"/>
          <w:b w:val="false"/>
          <w:i w:val="false"/>
          <w:color w:val="000000"/>
          <w:sz w:val="22"/>
        </w:rPr>
        <w:t> </w:t>
      </w:r>
      <w:r>
        <w:rPr>
          <w:rFonts w:ascii="Times New Roman" w:hAnsi="Times New Roman"/>
          <w:b w:val="false"/>
          <w:i/>
          <w:color w:val="000000"/>
          <w:sz w:val="22"/>
        </w:rPr>
        <w:t xml:space="preserve">Habitability standards. </w:t>
      </w:r>
      <w:r>
        <w:rPr>
          <w:rFonts w:ascii="Times New Roman" w:hAnsi="Times New Roman"/>
          <w:b w:val="false"/>
          <w:i w:val="false"/>
          <w:color w:val="000000"/>
          <w:sz w:val="22"/>
        </w:rPr>
        <w:t>Recipients shall follow the federal rules for habitability, ensuring that shelters funded with SAF adhere to minimum habitability standards for being safe, sanitary, and adequately maintained, according to the regulations at CFR Part 576.403. Standards include considerations for the following: (1) structure and materials, (2) access, (3) space and security, (4) interior air quality, (5) water supply, (6) sanitary facilities, (7) thermal environment, (8) illumination and electricity, (9) food preparation, (10) sanitary conditions, and (11) fire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41.10(9)</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IFA may, at its discretion, impose additional requirements on recipients, which will be described in the request for applications, the grant contract, or other guidance materials issued from time to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9642B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9828B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0183C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3426C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265—41.11</w:t>
      </w:r>
      <w:r>
        <w:rPr>
          <w:rFonts w:ascii="Times New Roman" w:hAnsi="Times New Roman"/>
          <w:b/>
          <w:i w:val="false"/>
          <w:color w:val="000000"/>
          <w:sz w:val="22"/>
        </w:rPr>
        <w:t xml:space="preserve">(16) </w:t>
      </w:r>
      <w:r>
        <w:rPr>
          <w:rFonts w:ascii="Times New Roman" w:hAnsi="Times New Roman"/>
          <w:b/>
          <w:i w:val="false"/>
          <w:color w:val="000000"/>
          <w:sz w:val="22"/>
        </w:rPr>
        <w:t xml:space="preserve">Compliance with applicable federal and state laws and regulations. </w:t>
      </w:r>
      <w:r>
        <w:rPr>
          <w:rFonts w:ascii="Times New Roman" w:hAnsi="Times New Roman"/>
          <w:b w:val="false"/>
          <w:i w:val="false"/>
          <w:color w:val="000000"/>
          <w:sz w:val="22"/>
        </w:rPr>
        <w:t>All recipients shall comply with the Iowa Code with respect to activities performed under this program. Use of SAF program funds shall comply with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and equal opportunity. </w:t>
      </w:r>
      <w:r>
        <w:rPr>
          <w:rFonts w:ascii="Times New Roman" w:hAnsi="Times New Roman"/>
          <w:b w:val="false"/>
          <w:i w:val="false"/>
          <w:color w:val="000000"/>
          <w:sz w:val="22"/>
        </w:rPr>
        <w:t>All recipients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Title VIII of the Civil Rights Act of 1968, 42 U.S.C. Sections 3601-19 and implementing regulations; Executive Order 11063 and implementing regulations at 24 CFR Part 107 (June 1, 1999); and Title VI of the Civil Rights Act of 1964 (42 U.S.C. Section 2002d) and implementing regulations at 24 CFR Part 1 (June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Affirmative action requirements as implemented with Executive Orders 11625, 12432, and 12138 which require that every effort be made to solicit the participation of minority and women business enterprises (MBE/WBE) in governmental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prohibitions against discrimination on the basis of age under the Age Discrimination Act of 1975 (42 U.S.C. Sections 6101-07).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prohibitions against discrimination against disabled individuals under Section 504 of the Rehabilitation Act of 1973 and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color w:val="000000"/>
          <w:sz w:val="22"/>
        </w:rPr>
        <w:t xml:space="preserve">Review of financial statements. </w:t>
      </w:r>
      <w:r>
        <w:rPr>
          <w:rFonts w:ascii="Times New Roman" w:hAnsi="Times New Roman"/>
          <w:b w:val="false"/>
          <w:i w:val="false"/>
          <w:color w:val="000000"/>
          <w:sz w:val="22"/>
        </w:rPr>
        <w:t>All recipients shall obtain from an independent certified public accountant an annual audit or an annual independent review of the agency’s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person who exercises or has exercised any functions or responsibilities with respect to activities assisted under the SAF program, or who is in a position to participate in a decision-making process or gain inside information with regard to activities assisted under the program, may obtain a financial interest or benefit from an assisted activity; have a financial interest in any contract, subcontract, or agreement with respect to an assisted activity; or have a financial interest in the proceeds derived from an assisted activity, either for the person or for those with whom the person has immediate family or business ties, during the person’s tenure or during the one-year period following the person’s tenure. Persons covered shall include any person who is an employee, agent, consultant, officer, or elected or appointed official of the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265—41.12</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Upon selection of an application for funding, IFA will initiate a contract. Recipients shall remain responsible for adherence to the requirements of the SAF program rules. These rules and applicable federal and state laws and regulations shall be deemed to be part of the contract. Certain activities may require that permits or clearances be obtained from other state agencies before the start of the project. Funding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Financial records, supporting documents, statistical records, and all other records pertinent to the funded program shall be retained by the recipient and made available to IFA upon request. Proper record retention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for any assisted activity shall be retained for five years after the end of the grant period and, if applicable, until audit procedures are completed and accepted by IFA.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state auditor’s office and IFA shall have access to all books, accounts, documents, records, and other property belonging to or in use by a recipient pertaining to the receipt of assistance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Recipients shall submit reports to IFA as prescribed in the contract. Reports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HMIS data reports. All recipients of SAF program funds are required to submit regular reports on clients served using the current HMIS reporting process as prescribed by IFA unless a recipient qualifies as a domestic violence shelter, in which case the recipient shall submit reports using a comparable database. A comparable database must collect client-level data over time and generate unduplicated aggregate reports based on that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funds. Recipients shall submit requests for funds during the contract year at intervals and using forms as prescribed by IFA. IFA may perform any review or field inspections it deems necessary to ensure program compliance, including review of recipient records and reports. When problems of compliance are noted, IFA may require remedial actions to be taken. Failure to respond to notifications of need for remedial action may result in the remedies for noncompliance set forth in subrule </w:t>
      </w:r>
      <w:hyperlink r:id="rId7">
        <w:r>
          <w:rPr>
            <w:rStyle w:val="Hyperlink"/>
            <w:rFonts w:ascii="Times New Roman" w:hAnsi="Times New Roman"/>
            <w:b w:val="false"/>
            <w:i w:val="false"/>
            <w:color w:val="000000"/>
            <w:sz w:val="22"/>
          </w:rPr>
          <w:t>41.12(5)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request to amend a contract shall be submitted in writing to IFA. IFA will determine if the request to amend is justified based on the material presented in the letter of request. No amendment is valid until approved in writing by IFA.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41.12(5)</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IFA may, for cause, find that a recipient is not in compliance with the requirements under this program. Reasons for a finding of noncompliance include, but are not limited to, the recipient’s use of program funds for activities not described in its application, the recipient’s failure to complete approved activities in a timely manner, the recipient’s failure to comply with any applicable state or federal rules or regulations, or the recipient’s lack of continuing capacity to carry out the approved program in a timely manner. At its discretion, IFA may employ any of the following remedies for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a future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the recipient to stop incurring costs with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awarded funds be remitted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Reduce the level of funds the recipient would otherwise be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award funds to the recipient until appropriate actions are taken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Prohibit a future award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9162B</w:t>
      </w:r>
      <w:r>
        <w:rPr>
          <w:rFonts w:ascii="Times New Roman" w:hAnsi="Times New Roman"/>
          <w:b w:val="false"/>
          <w:i w:val="false"/>
          <w:color w:val="000000"/>
          <w:sz w:val="16"/>
        </w:rPr>
        <w:t>, IAB 10/20/10,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9281B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9642B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9828B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0183C</w:t>
      </w:r>
      <w:r>
        <w:rPr>
          <w:rFonts w:ascii="Times New Roman" w:hAnsi="Times New Roman"/>
          <w:b w:val="false"/>
          <w:i w:val="false"/>
          <w:color w:val="000000"/>
          <w:sz w:val="16"/>
        </w:rPr>
        <w:t>, IAB 6/27/12,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1539C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9162B, IAB 10/20/10, effective 10/1/10]</w:t>
      </w:r>
    </w:p>
    <w:p>
      <w:pPr>
        <w:spacing w:before="0" w:after="0"/>
        <w:ind w:left="120"/>
        <w:jc w:val="center"/>
      </w:pPr>
      <w:r>
        <w:rPr>
          <w:rFonts w:ascii="Times New Roman" w:hAnsi="Times New Roman"/>
          <w:b w:val="false"/>
          <w:i w:val="false"/>
          <w:color w:val="000000"/>
          <w:sz w:val="21"/>
        </w:rPr>
        <w:t>[Filed ARC 9281B</w:t>
      </w:r>
      <w:r>
        <w:rPr>
          <w:rFonts w:ascii="Times New Roman" w:hAnsi="Times New Roman"/>
          <w:b w:val="false"/>
          <w:i w:val="false"/>
          <w:color w:val="000000"/>
          <w:sz w:val="21"/>
        </w:rPr>
        <w:t xml:space="preserve"> (Notice ARC 9163B,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9642B, IAB 7/27/11, effective 7/8/11]</w:t>
      </w:r>
    </w:p>
    <w:p>
      <w:pPr>
        <w:spacing w:before="0" w:after="0"/>
        <w:ind w:left="120"/>
        <w:jc w:val="center"/>
      </w:pPr>
      <w:r>
        <w:rPr>
          <w:rFonts w:ascii="Times New Roman" w:hAnsi="Times New Roman"/>
          <w:b w:val="false"/>
          <w:i w:val="false"/>
          <w:color w:val="000000"/>
          <w:sz w:val="21"/>
        </w:rPr>
        <w:t>[Filed ARC 9828B</w:t>
      </w:r>
      <w:r>
        <w:rPr>
          <w:rFonts w:ascii="Times New Roman" w:hAnsi="Times New Roman"/>
          <w:b w:val="false"/>
          <w:i w:val="false"/>
          <w:color w:val="000000"/>
          <w:sz w:val="21"/>
        </w:rPr>
        <w:t xml:space="preserve"> (Notice ARC 9643B, IAB 7/27/11)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0183C</w:t>
      </w:r>
      <w:r>
        <w:rPr>
          <w:rFonts w:ascii="Times New Roman" w:hAnsi="Times New Roman"/>
          <w:b w:val="false"/>
          <w:i w:val="false"/>
          <w:color w:val="000000"/>
          <w:sz w:val="21"/>
        </w:rPr>
        <w:t xml:space="preserve"> (Notice ARC 0096C,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1539C</w:t>
      </w:r>
      <w:r>
        <w:rPr>
          <w:rFonts w:ascii="Times New Roman" w:hAnsi="Times New Roman"/>
          <w:b w:val="false"/>
          <w:i w:val="false"/>
          <w:color w:val="000000"/>
          <w:sz w:val="21"/>
        </w:rPr>
        <w:t xml:space="preserve"> (Notice ARC 1459C,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3426C</w:t>
      </w:r>
      <w:r>
        <w:rPr>
          <w:rFonts w:ascii="Times New Roman" w:hAnsi="Times New Roman"/>
          <w:b w:val="false"/>
          <w:i w:val="false"/>
          <w:color w:val="000000"/>
          <w:sz w:val="21"/>
        </w:rPr>
        <w:t xml:space="preserve"> (Notice ARC 3275C, IAB 8/30/17)</w:t>
      </w:r>
      <w:r>
        <w:rPr>
          <w:rFonts w:ascii="Times New Roman" w:hAnsi="Times New Roman"/>
          <w:b w:val="false"/>
          <w:i w:val="false"/>
          <w:color w:val="000000"/>
          <w:sz w:val="21"/>
        </w:rPr>
        <w:t>, IAB 10/25/17, effective 11/29/17]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41.pdf" Type="http://schemas.openxmlformats.org/officeDocument/2006/relationships/hyperlink" Id="rId5"/>
    <Relationship TargetMode="External" Target="https://www.legis.iowa.gov/docs/iac/rule/265.41.4.pdf" Type="http://schemas.openxmlformats.org/officeDocument/2006/relationships/hyperlink" Id="rId6"/>
    <Relationship TargetMode="External" Target="https://www.legis.iowa.gov/docs/iac/rule/265.41.12.pdf" Type="http://schemas.openxmlformats.org/officeDocument/2006/relationships/hyperlink" Id="rId7"/>
    <Relationship TargetMode="External" Target="https://www.legis.iowa.gov/docs/ico/chapter/16.5.pdf" Type="http://schemas.openxmlformats.org/officeDocument/2006/relationships/hyperlink" Id="rId8"/>
    <Relationship TargetMode="External" Target="https://www.legis.iowa.gov/docs/ico/chapter/16.4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