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GENERAL REVENUE BOND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265—4.1</w:t>
      </w:r>
      <w:r>
        <w:rPr>
          <w:rFonts w:ascii="Times New Roman" w:hAnsi="Times New Roman"/>
          <w:b/>
          <w:i w:val="false"/>
          <w:color w:val="000000"/>
          <w:sz w:val="22"/>
        </w:rPr>
        <w:t xml:space="preserve">(16) </w:t>
      </w:r>
      <w:r>
        <w:rPr>
          <w:rFonts w:ascii="Times New Roman" w:hAnsi="Times New Roman"/>
          <w:b/>
          <w:i w:val="false"/>
          <w:color w:val="000000"/>
          <w:sz w:val="22"/>
        </w:rPr>
        <w:t xml:space="preserve">Revenue bonds authorized. </w:t>
      </w:r>
      <w:r>
        <w:rPr>
          <w:rFonts w:ascii="Times New Roman" w:hAnsi="Times New Roman"/>
          <w:b w:val="false"/>
          <w:i w:val="false"/>
          <w:color w:val="000000"/>
          <w:sz w:val="22"/>
        </w:rPr>
        <w:t xml:space="preserve">The authority may issue revenue bonds for any of the purposes for which financing is authorized under Iowa Code chapter </w:t>
      </w:r>
      <w:hyperlink r:id="rId5">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Revenue bonds are limited obligations of the authority, and principal and interest thereon shall be payable solely out of the revenues derived from the loan to the borrower financed by the bond and the underlying collateral or other security furnished by or on behalf of the borrower. The principal and interest on the bond does not constitute an indebtedness of the authority nor a charge against its general credit or general fund. The lender acquiring the bond shall have no other recourse against the authority.</w:t>
      </w:r>
    </w:p>
    <w:p>
      <w:pPr>
        <w:spacing w:before="210" w:after="0"/>
        <w:ind w:left="120"/>
        <w:jc w:val="both"/>
      </w:pPr>
      <w:r>
        <w:rPr>
          <w:rFonts w:ascii="Times New Roman" w:hAnsi="Times New Roman"/>
          <w:b/>
          <w:i w:val="false"/>
          <w:color w:val="000000"/>
          <w:sz w:val="22"/>
        </w:rPr>
        <w:t>265—4.2</w:t>
      </w:r>
      <w:r>
        <w:rPr>
          <w:rFonts w:ascii="Times New Roman" w:hAnsi="Times New Roman"/>
          <w:b/>
          <w:i w:val="false"/>
          <w:color w:val="000000"/>
          <w:sz w:val="22"/>
        </w:rPr>
        <w:t xml:space="preserve">(16) </w:t>
      </w:r>
      <w:r>
        <w:rPr>
          <w:rFonts w:ascii="Times New Roman" w:hAnsi="Times New Roman"/>
          <w:b/>
          <w:i w:val="false"/>
          <w:color w:val="000000"/>
          <w:sz w:val="22"/>
        </w:rPr>
        <w:t xml:space="preserve">Participating lenders. </w:t>
      </w:r>
      <w:r>
        <w:rPr>
          <w:rFonts w:ascii="Times New Roman" w:hAnsi="Times New Roman"/>
          <w:b w:val="false"/>
          <w:i w:val="false"/>
          <w:color w:val="000000"/>
          <w:sz w:val="22"/>
        </w:rPr>
        <w:t xml:space="preserve">The authority will disseminate a summary of the programs for which revenue bond financing is authorized to mortgage lenders located within Iowa. Any mortgage lender as defined in Iowa Code section </w:t>
      </w:r>
      <w:hyperlink r:id="rId6">
        <w:r>
          <w:rPr>
            <w:rStyle w:val="Hyperlink"/>
            <w:rFonts w:ascii="Times New Roman" w:hAnsi="Times New Roman"/>
            <w:b w:val="false"/>
            <w:i w:val="false"/>
            <w:color w:val="000000"/>
            <w:sz w:val="22"/>
          </w:rPr>
          <w:t>16.1</w:t>
        </w:r>
      </w:hyperlink>
      <w:r>
        <w:rPr>
          <w:rFonts w:ascii="Times New Roman" w:hAnsi="Times New Roman"/>
          <w:b w:val="false"/>
          <w:i w:val="false"/>
          <w:color w:val="000000"/>
          <w:sz w:val="22"/>
        </w:rPr>
        <w:t xml:space="preserve"> may apply to become a participating lender in an authority program providing financing through revenue bonds by submitting a signed letter of interest in a form prescribed by the authority to the authority. A letter of interest may be submitted at any time and upon approval by the authority the participating lender shall be obligated to abide by applicable program guidelines. At its regular monthly meetings, the authority will review letters of interest received since the last board meeting and approve letters of interest from qualified mortgage lenders. After approval, the lenders shall be considered IFA revenue bond participating lenders.</w:t>
      </w:r>
    </w:p>
    <w:p>
      <w:pPr>
        <w:spacing w:before="0" w:after="0"/>
        <w:ind w:left="120"/>
        <w:jc w:val="both"/>
      </w:pPr>
      <w:r>
        <w:rPr>
          <w:rFonts w:ascii="Times New Roman" w:hAnsi="Times New Roman"/>
          <w:b/>
          <w:i w:val="false"/>
          <w:color w:val="000000"/>
          <w:sz w:val="22"/>
        </w:rPr>
        <w:t>265—4.3</w:t>
      </w:r>
      <w:r>
        <w:rPr>
          <w:rFonts w:ascii="Times New Roman" w:hAnsi="Times New Roman"/>
          <w:b/>
          <w:i w:val="false"/>
          <w:color w:val="000000"/>
          <w:sz w:val="22"/>
        </w:rPr>
        <w:t xml:space="preserve">(16) </w:t>
      </w:r>
      <w:r>
        <w:rPr>
          <w:rFonts w:ascii="Times New Roman" w:hAnsi="Times New Roman"/>
          <w:b/>
          <w:i w:val="false"/>
          <w:color w:val="000000"/>
          <w:sz w:val="22"/>
        </w:rPr>
        <w:t xml:space="preserve">Procedures for project sponsors. </w:t>
      </w:r>
      <w:r>
        <w:rPr>
          <w:rFonts w:ascii="Times New Roman" w:hAnsi="Times New Roman"/>
          <w:b w:val="false"/>
          <w:i w:val="false"/>
          <w:color w:val="000000"/>
          <w:sz w:val="22"/>
        </w:rPr>
        <w:t>Applications for revenue bond financing may be made with any IFA revenue bond participating lender in the same lending area as the project to be financed. The project sponsor shall provide the lender with information books, records, etc., as the lender may consider to be reasonably necessary to evaluate or underwrite the risk.</w:t>
      </w:r>
    </w:p>
    <w:p>
      <w:pPr>
        <w:spacing w:before="0" w:after="0"/>
        <w:ind w:left="120"/>
        <w:jc w:val="both"/>
      </w:pPr>
      <w:r>
        <w:rPr>
          <w:rFonts w:ascii="Times New Roman" w:hAnsi="Times New Roman"/>
          <w:b w:val="false"/>
          <w:i w:val="false"/>
          <w:color w:val="000000"/>
          <w:sz w:val="22"/>
        </w:rPr>
        <w:t>A project sponsor must meet the eligibility requirements established for a particular type of revenue bond financing, by applicable state law and the rules of the authority. If the eligibility requirements are met, the participating lender may nonetheless deny a loan, subject to all reporting and disclosure requirements of applicable state and federal law, for any reason premised on sound lending practice, including underwriting or risk evaluation, portfolio diversification, limitations or restrictions on investments or available funds, and the lender’s degree of need for tax-exempt earnings. Any loan that is approved will be assigned to the participating lender.</w:t>
      </w:r>
    </w:p>
    <w:p>
      <w:pPr>
        <w:spacing w:before="0" w:after="0"/>
        <w:ind w:left="120"/>
        <w:jc w:val="both"/>
      </w:pPr>
      <w:r>
        <w:rPr>
          <w:rFonts w:ascii="Times New Roman" w:hAnsi="Times New Roman"/>
          <w:b w:val="false"/>
          <w:i w:val="false"/>
          <w:color w:val="000000"/>
          <w:sz w:val="22"/>
        </w:rPr>
        <w:t>If the loan is approved, the terms of the loan, including interest rate, length of loan, down payment, fees, origination charge and repayment schedule, shall not be any greater than those available to similar customers after taking into account the tax-exempt nature of interest on the bonds.</w:t>
      </w:r>
    </w:p>
    <w:p>
      <w:pPr>
        <w:spacing w:before="0" w:after="0"/>
        <w:ind w:left="120"/>
        <w:jc w:val="both"/>
      </w:pPr>
      <w:r>
        <w:rPr>
          <w:rFonts w:ascii="Times New Roman" w:hAnsi="Times New Roman"/>
          <w:b/>
          <w:i w:val="false"/>
          <w:color w:val="000000"/>
          <w:sz w:val="22"/>
        </w:rPr>
        <w:t>265—4.4</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review. </w:t>
      </w:r>
      <w:r>
        <w:rPr>
          <w:rFonts w:ascii="Times New Roman" w:hAnsi="Times New Roman"/>
          <w:b w:val="false"/>
          <w:i w:val="false"/>
          <w:color w:val="000000"/>
          <w:sz w:val="22"/>
        </w:rPr>
        <w:t>The completed and approved loan application shall be submitted to the authority for its review and approval. The authority’s review will include, though not be limited to, consideration of whether (1) the project sponsor is qualified for the type of loan it is seeking; (2) the loan proceeds will be used for a qualified purpose under the Iowa Code and the rules of the authority, and under the U.S. Internal Revenue Code and IRS regulations relating to industrial development bonds; and (3) the terms of the loan comply with these rules.</w:t>
      </w:r>
    </w:p>
    <w:p>
      <w:pPr>
        <w:spacing w:before="0" w:after="0"/>
        <w:ind w:left="120"/>
        <w:jc w:val="both"/>
      </w:pPr>
      <w:r>
        <w:rPr>
          <w:rFonts w:ascii="Times New Roman" w:hAnsi="Times New Roman"/>
          <w:b w:val="false"/>
          <w:i w:val="false"/>
          <w:color w:val="000000"/>
          <w:sz w:val="22"/>
        </w:rPr>
        <w:t>The authority may charge reasonable and necessary fees as needed to defray its costs for processing the loan and bond.</w:t>
      </w:r>
    </w:p>
    <w:p>
      <w:pPr>
        <w:spacing w:before="0" w:after="0"/>
        <w:ind w:left="120"/>
        <w:jc w:val="both"/>
      </w:pPr>
      <w:r>
        <w:rPr>
          <w:rFonts w:ascii="Times New Roman" w:hAnsi="Times New Roman"/>
          <w:b w:val="false"/>
          <w:i w:val="false"/>
          <w:color w:val="000000"/>
          <w:sz w:val="22"/>
        </w:rPr>
        <w:t>Following such review, the authority shall either approve or deny each specific revenue bond proposal. If the proposal is approved, the authority shall issue a bond for that proposal, and shall enter into a loan agreement with the project sponsor. The authority shall then assign the loan without recourse to the participating lender.</w:t>
      </w:r>
    </w:p>
    <w:p>
      <w:pPr>
        <w:spacing w:before="210" w:after="0"/>
        <w:ind w:left="120"/>
        <w:jc w:val="both"/>
      </w:pPr>
      <w:r>
        <w:rPr>
          <w:rFonts w:ascii="Times New Roman" w:hAnsi="Times New Roman"/>
          <w:b/>
          <w:i w:val="false"/>
          <w:color w:val="000000"/>
          <w:sz w:val="22"/>
        </w:rPr>
        <w:t>265—4.5</w:t>
      </w:r>
      <w:r>
        <w:rPr>
          <w:rFonts w:ascii="Times New Roman" w:hAnsi="Times New Roman"/>
          <w:b/>
          <w:i w:val="false"/>
          <w:color w:val="000000"/>
          <w:sz w:val="22"/>
        </w:rPr>
        <w:t xml:space="preserve">(16) </w:t>
      </w:r>
      <w:r>
        <w:rPr>
          <w:rFonts w:ascii="Times New Roman" w:hAnsi="Times New Roman"/>
          <w:b/>
          <w:i w:val="false"/>
          <w:color w:val="000000"/>
          <w:sz w:val="22"/>
        </w:rPr>
        <w:t xml:space="preserve">Public hearing and approval. </w:t>
      </w:r>
      <w:r>
        <w:rPr>
          <w:rFonts w:ascii="Times New Roman" w:hAnsi="Times New Roman"/>
          <w:b w:val="false"/>
          <w:i w:val="false"/>
          <w:color w:val="000000"/>
          <w:sz w:val="22"/>
        </w:rPr>
        <w:t>Rescinded IAB 2/1/17, effective 3/8/17.</w:t>
      </w:r>
    </w:p>
    <w:p>
      <w:pPr>
        <w:spacing w:before="0" w:after="0"/>
        <w:ind w:left="120"/>
        <w:jc w:val="both"/>
      </w:pPr>
      <w:r>
        <w:rPr>
          <w:rFonts w:ascii="Times New Roman" w:hAnsi="Times New Roman"/>
          <w:b/>
          <w:i w:val="false"/>
          <w:color w:val="000000"/>
          <w:sz w:val="22"/>
        </w:rPr>
        <w:t>265—4.6</w:t>
      </w:r>
      <w:r>
        <w:rPr>
          <w:rFonts w:ascii="Times New Roman" w:hAnsi="Times New Roman"/>
          <w:b/>
          <w:i w:val="false"/>
          <w:color w:val="000000"/>
          <w:sz w:val="22"/>
        </w:rPr>
        <w:t xml:space="preserve">(16) </w:t>
      </w:r>
      <w:r>
        <w:rPr>
          <w:rFonts w:ascii="Times New Roman" w:hAnsi="Times New Roman"/>
          <w:b/>
          <w:i w:val="false"/>
          <w:color w:val="000000"/>
          <w:sz w:val="22"/>
        </w:rPr>
        <w:t xml:space="preserve">Procedures following bond issuance. </w:t>
      </w:r>
      <w:r>
        <w:rPr>
          <w:rFonts w:ascii="Times New Roman" w:hAnsi="Times New Roman"/>
          <w:b w:val="false"/>
          <w:i w:val="false"/>
          <w:color w:val="000000"/>
          <w:sz w:val="22"/>
        </w:rPr>
        <w:t>No bond proceeds may be used by a nonqualified user nor for a nonqualified purpose. Following disbursement of the bond proceeds, the participating lender and project sponsor shall certify to the authority that the proceeds were used by a qualified project sponsor for a qualified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Assumption of loans, substitution of collateral and transfer of property. </w:t>
      </w:r>
      <w:r>
        <w:rPr>
          <w:rFonts w:ascii="Times New Roman" w:hAnsi="Times New Roman"/>
          <w:b w:val="false"/>
          <w:i w:val="false"/>
          <w:color w:val="000000"/>
          <w:sz w:val="22"/>
        </w:rPr>
        <w:t>Loans may not be assumed without the prior approval of the authority and then only if the purchaser of the property is an eligible project sponsor for IFA revenue bond financing. In any situation where collateral is substituted, or property transferred other than a sale of the entire operation financed by IFA revenue bonds, the benefits of the loan deriving from the tax-exempt rate of interest on the bonds must remain with the operation financed by the revenue bonds, and no transferee may thereby obtain the benefits of the IFA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265—4.7</w:t>
      </w:r>
      <w:r>
        <w:rPr>
          <w:rFonts w:ascii="Times New Roman" w:hAnsi="Times New Roman"/>
          <w:b/>
          <w:i w:val="false"/>
          <w:color w:val="000000"/>
          <w:sz w:val="22"/>
        </w:rPr>
        <w:t xml:space="preserve">(16) </w:t>
      </w:r>
      <w:r>
        <w:rPr>
          <w:rFonts w:ascii="Times New Roman" w:hAnsi="Times New Roman"/>
          <w:b/>
          <w:i w:val="false"/>
          <w:color w:val="000000"/>
          <w:sz w:val="22"/>
        </w:rPr>
        <w:t xml:space="preserve">Right to audit. </w:t>
      </w:r>
      <w:r>
        <w:rPr>
          <w:rFonts w:ascii="Times New Roman" w:hAnsi="Times New Roman"/>
          <w:b w:val="false"/>
          <w:i w:val="false"/>
          <w:color w:val="000000"/>
          <w:sz w:val="22"/>
        </w:rPr>
        <w:t>The authority shall have at all times the right to audit the records of the participating lender and the operation financed by IFA revenue bonds relating to the loan and bond to ensure that bond proceeds were used by a qualified user and for a qualified purpose. The authority or a designee acting under instructions of the authority may exercise this right.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8/25/82—published 9/15/82, effective 8/25/82]</w:t>
      </w:r>
    </w:p>
    <w:p>
      <w:pPr>
        <w:spacing w:before="0" w:after="0"/>
        <w:ind w:left="120"/>
        <w:jc w:val="center"/>
      </w:pPr>
      <w:r>
        <w:rPr>
          <w:rFonts w:ascii="Times New Roman" w:hAnsi="Times New Roman"/>
          <w:b w:val="false"/>
          <w:i w:val="false"/>
          <w:color w:val="000000"/>
          <w:sz w:val="21"/>
        </w:rPr>
        <w:t>[Filed without Notice 10/8/82—published 10/27/82, effective 1/25/83]</w:t>
      </w:r>
    </w:p>
    <w:p>
      <w:pPr>
        <w:spacing w:before="0" w:after="0"/>
        <w:ind w:left="120"/>
        <w:jc w:val="center"/>
      </w:pPr>
      <w:r>
        <w:rPr>
          <w:rFonts w:ascii="Times New Roman" w:hAnsi="Times New Roman"/>
          <w:b w:val="false"/>
          <w:i w:val="false"/>
          <w:color w:val="000000"/>
          <w:sz w:val="21"/>
        </w:rPr>
        <w:t>[Filed emergency 12/3/82—published 12/22/82, effective 1/1/83]</w:t>
      </w:r>
    </w:p>
    <w:p>
      <w:pPr>
        <w:spacing w:before="0" w:after="0"/>
        <w:ind w:left="120"/>
        <w:jc w:val="center"/>
      </w:pPr>
      <w:r>
        <w:rPr>
          <w:rFonts w:ascii="Times New Roman" w:hAnsi="Times New Roman"/>
          <w:b w:val="false"/>
          <w:i w:val="false"/>
          <w:color w:val="000000"/>
          <w:sz w:val="21"/>
        </w:rPr>
        <w:t>[Filed emergency 12/17/82 after Notice 9/15/82—published 1/5/83,effective 1/25/83]</w:t>
      </w:r>
    </w:p>
    <w:p>
      <w:pPr>
        <w:spacing w:before="0" w:after="0"/>
        <w:ind w:left="120"/>
        <w:jc w:val="center"/>
      </w:pPr>
      <w:r>
        <w:rPr>
          <w:rFonts w:ascii="Times New Roman" w:hAnsi="Times New Roman"/>
          <w:b w:val="false"/>
          <w:i w:val="false"/>
          <w:color w:val="000000"/>
          <w:sz w:val="21"/>
        </w:rPr>
        <w:t>[Filed 4/25/83, Notice 12/22/82—published 5/11/83, effective 6/16/83]</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ARC 2924C</w:t>
      </w:r>
      <w:r>
        <w:rPr>
          <w:rFonts w:ascii="Times New Roman" w:hAnsi="Times New Roman"/>
          <w:b w:val="false"/>
          <w:i w:val="false"/>
          <w:color w:val="000000"/>
          <w:sz w:val="21"/>
        </w:rPr>
        <w:t xml:space="preserve"> (Notice ARC 2828C, IAB 11/23/16)</w:t>
      </w:r>
      <w:r>
        <w:rPr>
          <w:rFonts w:ascii="Times New Roman" w:hAnsi="Times New Roman"/>
          <w:b w:val="false"/>
          <w:i w:val="false"/>
          <w:color w:val="000000"/>
          <w:sz w:val="21"/>
        </w:rPr>
        <w:t>, IAB 2/1/17, effective 3/8/17]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pdf" Type="http://schemas.openxmlformats.org/officeDocument/2006/relationships/hyperlink" Id="rId5"/>
    <Relationship TargetMode="External" Target="https://www.legis.iowa.gov/docs/ico/chapter/16.1.pdf" Type="http://schemas.openxmlformats.org/officeDocument/2006/relationships/hyperlink" Id="rId6"/>
    <Relationship TargetMode="External" Target="https://www.legis.iowa.gov/docs/ico/chapter/1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