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PUBLIC SERVICE SHELTER GRANT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265—36.1</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Public service shelter grant fund allocation plan. </w:t>
      </w:r>
      <w:r>
        <w:rPr>
          <w:rFonts w:ascii="Times New Roman" w:hAnsi="Times New Roman"/>
          <w:b w:val="false"/>
          <w:i w:val="false"/>
          <w:color w:val="000000"/>
          <w:sz w:val="22"/>
        </w:rPr>
        <w:t xml:space="preserve">The allocation plan entitled Iowa Finance Authority Public Service Shelter Grant Fund Allocation Plan dated June 2009 shall be the allocation plan for the award, pursuant to the public service shelter grant fund program, of funds held within the public service shelter grant fund established in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xml:space="preserve">, section 28. The allocation plan for the public service shelter grant fund program is incorporated by reference pursuant to Iowa Code section </w:t>
      </w:r>
      <w:hyperlink r:id="rId5">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265—subrules 17.4(2)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7894B</w:t>
      </w:r>
      <w:r>
        <w:rPr>
          <w:rFonts w:ascii="Times New Roman" w:hAnsi="Times New Roman"/>
          <w:b w:val="false"/>
          <w:i w:val="false"/>
          <w:color w:val="000000"/>
          <w:sz w:val="16"/>
        </w:rPr>
        <w:t>, IAB 7/1/09,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8077B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265—36.2</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Location of copies of the plan. </w:t>
      </w:r>
      <w:r>
        <w:rPr>
          <w:rFonts w:ascii="Times New Roman" w:hAnsi="Times New Roman"/>
          <w:b w:val="false"/>
          <w:i w:val="false"/>
          <w:color w:val="000000"/>
          <w:sz w:val="22"/>
        </w:rPr>
        <w:t xml:space="preserve">The allocation plan for the public service shelter grant fund program may be reviewed and copied in its entirety on the authority’s Web site at </w:t>
      </w:r>
      <w:hyperlink r:id="rId8">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Copies of the allocation plan for the public service shelter grant fund program, the application forms, and all related attachments and exhibits, if any, shall be deposited with the administrative rules coordinator and at the state law library. The plan incorporates by reference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 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7894B</w:t>
      </w:r>
      <w:r>
        <w:rPr>
          <w:rFonts w:ascii="Times New Roman" w:hAnsi="Times New Roman"/>
          <w:b w:val="false"/>
          <w:i w:val="false"/>
          <w:color w:val="000000"/>
          <w:sz w:val="16"/>
        </w:rPr>
        <w:t>, IAB 7/1/09,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8077B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16.5(1)</w:t>
        </w:r>
      </w:hyperlink>
      <w:r>
        <w:rPr>
          <w:rFonts w:ascii="Times New Roman" w:hAnsi="Times New Roman"/>
          <w:b w:val="false"/>
          <w:i/>
          <w:color w:val="000000"/>
          <w:sz w:val="22"/>
        </w:rPr>
        <w:t>“r”</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 28.</w:t>
      </w:r>
    </w:p>
    <w:p>
      <w:pPr>
        <w:spacing w:before="0" w:after="0"/>
        <w:ind w:left="120"/>
        <w:jc w:val="center"/>
      </w:pPr>
      <w:r>
        <w:rPr>
          <w:rFonts w:ascii="Times New Roman" w:hAnsi="Times New Roman"/>
          <w:b w:val="false"/>
          <w:i w:val="false"/>
          <w:color w:val="000000"/>
          <w:sz w:val="21"/>
        </w:rPr>
        <w:t>[Filed Emergency ARC 7894B, IAB 7/1/09, effective 6/10/09]</w:t>
      </w:r>
    </w:p>
    <w:p>
      <w:pPr>
        <w:spacing w:before="0" w:after="0"/>
        <w:ind w:left="120"/>
        <w:jc w:val="center"/>
      </w:pPr>
      <w:r>
        <w:rPr>
          <w:rFonts w:ascii="Times New Roman" w:hAnsi="Times New Roman"/>
          <w:b w:val="false"/>
          <w:i w:val="false"/>
          <w:color w:val="000000"/>
          <w:sz w:val="21"/>
        </w:rPr>
        <w:t>[Filed ARC 8077B</w:t>
      </w:r>
      <w:r>
        <w:rPr>
          <w:rFonts w:ascii="Times New Roman" w:hAnsi="Times New Roman"/>
          <w:b w:val="false"/>
          <w:i w:val="false"/>
          <w:color w:val="000000"/>
          <w:sz w:val="21"/>
        </w:rPr>
        <w:t xml:space="preserve"> (Notice ARC 7893B, IAB 7/1/09)</w:t>
      </w:r>
      <w:r>
        <w:rPr>
          <w:rFonts w:ascii="Times New Roman" w:hAnsi="Times New Roman"/>
          <w:b w:val="false"/>
          <w:i w:val="false"/>
          <w:color w:val="000000"/>
          <w:sz w:val="21"/>
        </w:rPr>
        <w:t>, IAB 8/26/09, effective 9/30/09]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6.pdf" Type="http://schemas.openxmlformats.org/officeDocument/2006/relationships/hyperlink" Id="rId5"/>
    <Relationship TargetMode="External" Target="https://www.legis.iowa.gov/docs/iac/rule/265.17.4.pdf" Type="http://schemas.openxmlformats.org/officeDocument/2006/relationships/hyperlink" Id="rId6"/>
    <Relationship TargetMode="External" Target="https://www.legis.iowa.gov/docs/iac/rule/265.17.12.pdf" Type="http://schemas.openxmlformats.org/officeDocument/2006/relationships/hyperlink" Id="rId7"/>
    <Relationship TargetMode="External" Target="http://www.iowafinanceauthority.gov" Type="http://schemas.openxmlformats.org/officeDocument/2006/relationships/hyperlink" Id="rId8"/>
    <Relationship TargetMode="External" Target="https://www.legis.iowa.gov/docs/ico/chapter/16.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