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COUNCIL ON HOMELESSNESS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265—31.1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Location and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main office of the council is located at the offices of the Iowa finance authority, located at the address set forth in rule </w:t>
      </w:r>
      <w:hyperlink r:id="rId5">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(16). Office hours for the council shall be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excluding legal holidays. Written requests may be submitted to the council at this address. Information about the council is available at this website address: </w:t>
      </w:r>
      <w:hyperlink r:id="rId6">
        <w:r>
          <w:rPr>
            <w:rStyle w:val="Hyperlink"/>
            <w:rFonts w:ascii="Times New Roman" w:hAnsi="Times New Roman"/>
            <w:b w:val="false"/>
            <w:i w:val="false"/>
            <w:color w:val="000000"/>
            <w:sz w:val="22"/>
            <w:u w:val="single"/>
          </w:rPr>
          <w:t>www.iowafinance.com</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assistance and administrative support shall be provided by the Iowa finance authority as approved by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 xml:space="preserve">The powers of the council are vested in and exercised by 20 members, 11 of whom are voting members and 9 of whom are nonvoting members. Voting members are appointed by the governor in accordance with Iowa Code section </w:t>
      </w:r>
      <w:hyperlink r:id="rId7">
        <w:r>
          <w:rPr>
            <w:rStyle w:val="Hyperlink"/>
            <w:rFonts w:ascii="Times New Roman" w:hAnsi="Times New Roman"/>
            <w:b w:val="false"/>
            <w:i w:val="false"/>
            <w:color w:val="000000"/>
            <w:sz w:val="22"/>
          </w:rPr>
          <w:t>16.2D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 xml:space="preserve">The 11 voting members selected from the general public shall each serve a two-year term. Terms shall be staggered so half of the voting members are appointed in one year and half are appointed in the year thereafter.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color w:val="000000"/>
          <w:sz w:val="22"/>
        </w:rPr>
        <w:t xml:space="preserve">Board officers. </w:t>
      </w:r>
      <w:r>
        <w:rPr>
          <w:rFonts w:ascii="Times New Roman" w:hAnsi="Times New Roman"/>
          <w:b w:val="false"/>
          <w:i w:val="false"/>
          <w:color w:val="000000"/>
          <w:sz w:val="22"/>
        </w:rPr>
        <w:t xml:space="preserve">The council shall annually elect a chairperson and a vice chairperson and may elect other officers as determined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color w:val="000000"/>
          <w:sz w:val="22"/>
        </w:rPr>
        <w:t xml:space="preserve">Quorum and voting requirements. </w:t>
      </w:r>
      <w:r>
        <w:rPr>
          <w:rFonts w:ascii="Times New Roman" w:hAnsi="Times New Roman"/>
          <w:b w:val="false"/>
          <w:i w:val="false"/>
          <w:color w:val="000000"/>
          <w:sz w:val="22"/>
        </w:rPr>
        <w:t xml:space="preserve">Seven voting members of the council shall constitute a quorum. Any action taken by the council must be adopted by an affirmative vote of a majority of the quorum. The majority shall not include any member who has a conflict of interest, and a statement by a member who asserts a conflict of interest shall be conclusive for this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council shall meet at least six times per year. Meetings may be held at the call of the chairperson or whenever a majority of the members so request. The council shall comply with the requirements of Iowa Code chapters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Interested parties are encouraged to attend and participate in council meetings where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 xml:space="preserve">The council may form an executive committee comprised of not more than six voting members of the council. The membership and size of the committee as well as the terms of the committee members will be established annually by the council. The members of the executive committee may elect a member to serve as a chairperson. A majority of voting committee members constitutes a quorum. Any action taken by the committee must be adopted by an affirmative vote of a majority of its voting members. The chairperson of the council may appoint nonvoting members of the council to serve on the executive committee as nonvoting members. The executive committee will be responsible for reviewing and making recommendations for amendments or changes to the internal rules of procedure. The executive committee will carry out the business of the council between regularly scheduled council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Nominating committee. </w:t>
      </w:r>
      <w:r>
        <w:rPr>
          <w:rFonts w:ascii="Times New Roman" w:hAnsi="Times New Roman"/>
          <w:b w:val="false"/>
          <w:i w:val="false"/>
          <w:color w:val="000000"/>
          <w:sz w:val="22"/>
        </w:rPr>
        <w:t>The council shall annually at its March meeting elect five members, at least two of whom shall be nonvoting members and at least two of whom shall be voting members. The nominating committee shall nominate persons to the governor to fill the voting member positions when they become open. A majority of the members of the nominating committee shall constitute a quorum. Any action taken by the nominating committee must be adopted by an affirmative vote of a majority of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committees. </w:t>
      </w:r>
      <w:r>
        <w:rPr>
          <w:rFonts w:ascii="Times New Roman" w:hAnsi="Times New Roman"/>
          <w:b w:val="false"/>
          <w:i w:val="false"/>
          <w:color w:val="000000"/>
          <w:sz w:val="22"/>
        </w:rPr>
        <w:t>The council may establish other advisory committees and subcommittees comprised of members of the council to carry out various responsibilities of the council. A majority of the voting members of such a committee shall constitute a quorum. Any action taken by a committee must be adopted by an affirmative vote of a majority of its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Informal working groups. </w:t>
      </w:r>
      <w:r>
        <w:rPr>
          <w:rFonts w:ascii="Times New Roman" w:hAnsi="Times New Roman"/>
          <w:b w:val="false"/>
          <w:i w:val="false"/>
          <w:color w:val="000000"/>
          <w:sz w:val="22"/>
        </w:rPr>
        <w:t>Informal working groups may be assembled from time to time by the chairperson for various tasks.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2005C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 xml:space="preserve">; </w:t>
      </w:r>
      <w:r>
        <w:rPr>
          <w:rFonts w:ascii="Times New Roman" w:hAnsi="Times New Roman"/>
          <w:b/>
          <w:i w:val="false"/>
          <w:color w:val="000000"/>
          <w:sz w:val="16"/>
        </w:rPr>
        <w:t>ARC 6955C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265—31.2</w:t>
      </w:r>
      <w:r>
        <w:rPr>
          <w:rFonts w:ascii="Times New Roman" w:hAnsi="Times New Roman"/>
          <w:b/>
          <w:i w:val="false"/>
          <w:color w:val="000000"/>
          <w:sz w:val="22"/>
        </w:rPr>
        <w:t xml:space="preserve">(16) </w:t>
      </w:r>
      <w:r>
        <w:rPr>
          <w:rFonts w:ascii="Times New Roman" w:hAnsi="Times New Roman"/>
          <w:b/>
          <w:i w:val="false"/>
          <w:color w:val="000000"/>
          <w:sz w:val="22"/>
        </w:rPr>
        <w:t xml:space="preserve">Duties of the council. </w:t>
      </w:r>
      <w:r>
        <w:rPr>
          <w:rFonts w:ascii="Times New Roman" w:hAnsi="Times New Roman"/>
          <w:b w:val="false"/>
          <w:i w:val="false"/>
          <w:color w:val="000000"/>
          <w:sz w:val="22"/>
        </w:rPr>
        <w:t>The duties of the council shall be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 a process for evaluating state policies, programs, statutes, and rules to determine whether any state policies, programs, statutes, or rules should be revised to help prevent and alleviate homelessness.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Evaluate whether state agency resources could be more efficiently coordinated with other state agencies to prevent and alleviate homelessness.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Work to develop a coordinated and seamless service delivery system to prevent and alleviate homelessness.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Work to identify causes and effects of homelessness and increase awareness among policymakers and the general public.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Advise the governor’s office, the Iowa finance authority, state agencies, and private organizations on strategies to prevent and eliminate homelessness.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Prepare a point-in-time report on homelessness in Iowa and file the report with the governor and the general assembly on or before the first day of December each year.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Assist in the completion of the state’s continuum of care application to the U.S. Department of Housing and Urban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6955C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16.2D</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2022 Iowa Acts, House File 2258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7704B</w:t>
      </w:r>
      <w:r>
        <w:rPr>
          <w:rFonts w:ascii="Times New Roman" w:hAnsi="Times New Roman"/>
          <w:b w:val="false"/>
          <w:i w:val="false"/>
          <w:color w:val="000000"/>
          <w:sz w:val="21"/>
        </w:rPr>
        <w:t xml:space="preserve"> (Notice ARC 7514B, IAB 1/14/09)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2005C</w:t>
      </w:r>
      <w:r>
        <w:rPr>
          <w:rFonts w:ascii="Times New Roman" w:hAnsi="Times New Roman"/>
          <w:b w:val="false"/>
          <w:i w:val="false"/>
          <w:color w:val="000000"/>
          <w:sz w:val="21"/>
        </w:rPr>
        <w:t xml:space="preserve"> (Notice ARC 1864C, IAB 2/4/15)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6955C</w:t>
      </w:r>
      <w:r>
        <w:rPr>
          <w:rFonts w:ascii="Times New Roman" w:hAnsi="Times New Roman"/>
          <w:b w:val="false"/>
          <w:i w:val="false"/>
          <w:color w:val="000000"/>
          <w:sz w:val="21"/>
        </w:rPr>
        <w:t xml:space="preserve"> (Notice ARC 6818C, IAB 1/11/23)</w:t>
      </w:r>
      <w:r>
        <w:rPr>
          <w:rFonts w:ascii="Times New Roman" w:hAnsi="Times New Roman"/>
          <w:b w:val="false"/>
          <w:i w:val="false"/>
          <w:color w:val="000000"/>
          <w:sz w:val="21"/>
        </w:rPr>
        <w:t>, IAB 3/22/23, effective 4/26/23]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5.1.3.pdf" Type="http://schemas.openxmlformats.org/officeDocument/2006/relationships/hyperlink" Id="rId5"/>
    <Relationship TargetMode="External" Target="http://www.iowafinance.com" Type="http://schemas.openxmlformats.org/officeDocument/2006/relationships/hyperlink" Id="rId6"/>
    <Relationship TargetMode="External" Target="https://www.legis.iowa.gov/docs/ico/chapter/16.2D.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6.5.pdf" Type="http://schemas.openxmlformats.org/officeDocument/2006/relationships/hyperlink" Id="rId10"/>
    <Relationship TargetMode="External" Target="https://www.legis.iowa.gov/docs/ico/chapter/16.2D.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