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w:t>
      </w:r>
    </w:p>
    <w:p>
      <w:pPr>
        <w:spacing w:before="0" w:after="0"/>
        <w:ind w:left="120"/>
        <w:jc w:val="center"/>
      </w:pPr>
      <w:r>
        <w:rPr>
          <w:rFonts w:ascii="Times New Roman" w:hAnsi="Times New Roman"/>
          <w:b w:val="false"/>
          <w:i w:val="false"/>
          <w:color w:val="000000"/>
          <w:sz w:val="21"/>
        </w:rPr>
        <w:t>QUALIFIED MIDWESTERN DISASTER AREA BOND ALLOCATION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265—30.1</w:t>
      </w:r>
      <w:r>
        <w:rPr>
          <w:rFonts w:ascii="Times New Roman" w:hAnsi="Times New Roman"/>
          <w:b/>
          <w:i w:val="false"/>
          <w:color w:val="000000"/>
          <w:sz w:val="22"/>
        </w:rPr>
        <w:t xml:space="preserve">(16) </w:t>
      </w:r>
      <w:r>
        <w:rPr>
          <w:rFonts w:ascii="Times New Roman" w:hAnsi="Times New Roman"/>
          <w:b/>
          <w:i w:val="false"/>
          <w:color w:val="000000"/>
          <w:sz w:val="22"/>
        </w:rPr>
        <w:t xml:space="preserve">General. </w:t>
      </w:r>
      <w:r>
        <w:rPr>
          <w:rFonts w:ascii="Times New Roman" w:hAnsi="Times New Roman"/>
          <w:b w:val="false"/>
          <w:i w:val="false"/>
          <w:color w:val="000000"/>
          <w:sz w:val="22"/>
        </w:rPr>
        <w:t>The governor has appointed the executive director of the Iowa finance authority as the governor’s designee responsible for administration of the law which establishes procedures for allocating the authority to issue up to a specified amount of qualified midwestern disaster area (“MDA”) bonds as defined in Section 1400N of the Internal Revenue Code, as amended by the Heartland Disaster Tax Relief Act (“Act”) of 2008. The Act was passed in response to the disasters attributable to the severe storms, tornadoes, and flooding that gave rise to any of the presidential declarations of a major disaster on or after May 20, 2008, and before August 1, 2008, under Section 401 of the Robert T. Stafford Disaster Relief and Emergency Assistance Act and that were determined by the President to warrant individual or individual and public assistance from the federal government under such Act with respect to damages attributable to such severe storms, tornadoes, or flooding (collectively, “disasters”). The Act limits the aggregate face amount of bonds that may be designated as MDA bonds. The role of the governor’s designee is to allocate on behalf of particular projects authorization to issue specified allotments of MDA bonds from the total aggregate face amount permitted under the Act. The authority to issue up to a specified face amount of MDA bonds, as allocated to a particular project pursuant to this chapter, may be referred to herein as an “allotment.” Procedures set out in the Act and in these rules shall be followed in allocating allotments for the various purposes authorized by the Act. The allotments shall be allocated among all eligible applicants for those various purposes in accordance with the Act, Executive Order Number 9, and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7703B</w:t>
      </w:r>
      <w:r>
        <w:rPr>
          <w:rFonts w:ascii="Times New Roman" w:hAnsi="Times New Roman"/>
          <w:b w:val="false"/>
          <w:i w:val="false"/>
          <w:color w:val="000000"/>
          <w:sz w:val="16"/>
        </w:rPr>
        <w:t>, IAB 4/8/09, effective 5/13/09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265—30.2</w:t>
      </w:r>
      <w:r>
        <w:rPr>
          <w:rFonts w:ascii="Times New Roman" w:hAnsi="Times New Roman"/>
          <w:b/>
          <w:i w:val="false"/>
          <w:color w:val="000000"/>
          <w:sz w:val="22"/>
        </w:rPr>
        <w:t xml:space="preserve">(16) </w:t>
      </w:r>
      <w:r>
        <w:rPr>
          <w:rFonts w:ascii="Times New Roman" w:hAnsi="Times New Roman"/>
          <w:b/>
          <w:i w:val="false"/>
          <w:color w:val="000000"/>
          <w:sz w:val="22"/>
        </w:rPr>
        <w:t xml:space="preserve">Forms. </w:t>
      </w:r>
      <w:r>
        <w:rPr>
          <w:rFonts w:ascii="Times New Roman" w:hAnsi="Times New Roman"/>
          <w:b w:val="false"/>
          <w:i w:val="false"/>
          <w:color w:val="000000"/>
          <w:sz w:val="22"/>
        </w:rPr>
        <w:t xml:space="preserve">Information and forms necessary for compliance with provisions of the law are available upon request from the Iowa finance authority at the address set forth in rule 265—1.3(16). The telephone number of the authority is (515)725-4900. Information and forms are also available at </w:t>
      </w:r>
      <w:hyperlink r:id="rId5">
        <w:r>
          <w:rPr>
            <w:rStyle w:val="Hyperlink"/>
            <w:rFonts w:ascii="Times New Roman" w:hAnsi="Times New Roman"/>
            <w:b w:val="false"/>
            <w:i w:val="false"/>
            <w:color w:val="000000"/>
            <w:sz w:val="22"/>
            <w:u w:val="single"/>
          </w:rPr>
          <w:t>www.iowafinanceauthority.gov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7703B</w:t>
      </w:r>
      <w:r>
        <w:rPr>
          <w:rFonts w:ascii="Times New Roman" w:hAnsi="Times New Roman"/>
          <w:b w:val="false"/>
          <w:i w:val="false"/>
          <w:color w:val="000000"/>
          <w:sz w:val="16"/>
        </w:rPr>
        <w:t>, IAB 4/8/09, effective 5/13/09</w:t>
      </w:r>
      <w:r>
        <w:rPr>
          <w:rFonts w:ascii="Times New Roman" w:hAnsi="Times New Roman"/>
          <w:b w:val="false"/>
          <w:i w:val="false"/>
          <w:color w:val="000000"/>
          <w:sz w:val="16"/>
        </w:rPr>
        <w:t xml:space="preserve">; </w:t>
      </w:r>
      <w:r>
        <w:rPr>
          <w:rFonts w:ascii="Times New Roman" w:hAnsi="Times New Roman"/>
          <w:b/>
          <w:i w:val="false"/>
          <w:color w:val="000000"/>
          <w:sz w:val="16"/>
        </w:rPr>
        <w:t>ARC 4319C</w:t>
      </w:r>
      <w:r>
        <w:rPr>
          <w:rFonts w:ascii="Times New Roman" w:hAnsi="Times New Roman"/>
          <w:b w:val="false"/>
          <w:i w:val="false"/>
          <w:color w:val="000000"/>
          <w:sz w:val="16"/>
        </w:rPr>
        <w:t>, IAB 2/27/19, effective 4/3/19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265—30.3</w:t>
      </w:r>
      <w:r>
        <w:rPr>
          <w:rFonts w:ascii="Times New Roman" w:hAnsi="Times New Roman"/>
          <w:b/>
          <w:i w:val="false"/>
          <w:color w:val="000000"/>
          <w:sz w:val="22"/>
        </w:rPr>
        <w:t xml:space="preserve">(16) </w:t>
      </w:r>
      <w:r>
        <w:rPr>
          <w:rFonts w:ascii="Times New Roman" w:hAnsi="Times New Roman"/>
          <w:b/>
          <w:i w:val="false"/>
          <w:color w:val="000000"/>
          <w:sz w:val="22"/>
        </w:rPr>
        <w:t xml:space="preserve">Eligibility for allocation.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30.3(1)</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project involving a private business use (as defined in Section 141(b)(6) of the Internal Revenue Code), to be eligible for an allotment, the applicant must certify that the entity using the property either: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Suffered a loss in a trade or business attributable to the disasters;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a person replacing a trade or business with respect to which another person suffered such a loss.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30.3(2)</w:t>
      </w:r>
      <w:r>
        <w:rPr>
          <w:rFonts w:ascii="Times New Roman" w:hAnsi="Times New Roman"/>
          <w:b w:val="false"/>
          <w:i w:val="false"/>
          <w:color w:val="000000"/>
          <w:sz w:val="22"/>
        </w:rPr>
        <w:t> </w:t>
      </w:r>
      <w:r>
        <w:rPr>
          <w:rFonts w:ascii="Times New Roman" w:hAnsi="Times New Roman"/>
          <w:b w:val="false"/>
          <w:i w:val="false"/>
          <w:color w:val="000000"/>
          <w:sz w:val="22"/>
        </w:rPr>
        <w:t>In the case of a project relating to public utility property (as defined in Section 168(i)(10) of the Internal Revenue Code), to be eligible for an allotment, the applicant must certify that the project involves repair or reconstruction of public utility property damaged by the disasters.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30.3(3)</w:t>
      </w:r>
      <w:r>
        <w:rPr>
          <w:rFonts w:ascii="Times New Roman" w:hAnsi="Times New Roman"/>
          <w:b w:val="false"/>
          <w:i w:val="false"/>
          <w:color w:val="000000"/>
          <w:sz w:val="22"/>
        </w:rPr>
        <w:t> </w:t>
      </w:r>
      <w:r>
        <w:rPr>
          <w:rFonts w:ascii="Times New Roman" w:hAnsi="Times New Roman"/>
          <w:b w:val="false"/>
          <w:i w:val="false"/>
          <w:color w:val="000000"/>
          <w:sz w:val="22"/>
        </w:rPr>
        <w:t>For a project to be eligible for an allotment as a qualified mortgage issue, the applicant must certify that 95 percent or more of the net proceeds (as defined in Section 150(a)(3) of the Internal Revenue Code) of the issue are to be used to provide financing for mortgagors who suffered damages to their principal residences attributable to the disasters.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7703B</w:t>
      </w:r>
      <w:r>
        <w:rPr>
          <w:rFonts w:ascii="Times New Roman" w:hAnsi="Times New Roman"/>
          <w:b w:val="false"/>
          <w:i w:val="false"/>
          <w:color w:val="000000"/>
          <w:sz w:val="16"/>
        </w:rPr>
        <w:t>, IAB 4/8/09, effective 5/13/09</w:t>
      </w:r>
      <w:r>
        <w:rPr>
          <w:rFonts w:ascii="Times New Roman" w:hAnsi="Times New Roman"/>
          <w:b w:val="false"/>
          <w:i w:val="false"/>
          <w:color w:val="000000"/>
          <w:sz w:val="16"/>
        </w:rPr>
        <w:t xml:space="preserve">; </w:t>
      </w:r>
      <w:r>
        <w:rPr>
          <w:rFonts w:ascii="Times New Roman" w:hAnsi="Times New Roman"/>
          <w:b/>
          <w:i w:val="false"/>
          <w:color w:val="000000"/>
          <w:sz w:val="16"/>
        </w:rPr>
        <w:t>ARC 8548B</w:t>
      </w:r>
      <w:r>
        <w:rPr>
          <w:rFonts w:ascii="Times New Roman" w:hAnsi="Times New Roman"/>
          <w:b w:val="false"/>
          <w:i w:val="false"/>
          <w:color w:val="000000"/>
          <w:sz w:val="16"/>
        </w:rPr>
        <w:t>, IAB 2/24/10, effective 2/4/10</w:t>
      </w:r>
      <w:r>
        <w:rPr>
          <w:rFonts w:ascii="Times New Roman" w:hAnsi="Times New Roman"/>
          <w:b w:val="false"/>
          <w:i w:val="false"/>
          <w:color w:val="000000"/>
          <w:sz w:val="16"/>
        </w:rPr>
        <w:t xml:space="preserve">; </w:t>
      </w:r>
      <w:r>
        <w:rPr>
          <w:rFonts w:ascii="Times New Roman" w:hAnsi="Times New Roman"/>
          <w:b/>
          <w:i w:val="false"/>
          <w:color w:val="000000"/>
          <w:sz w:val="16"/>
        </w:rPr>
        <w:t>ARC 8724B</w:t>
      </w:r>
      <w:r>
        <w:rPr>
          <w:rFonts w:ascii="Times New Roman" w:hAnsi="Times New Roman"/>
          <w:b w:val="false"/>
          <w:i w:val="false"/>
          <w:color w:val="000000"/>
          <w:sz w:val="16"/>
        </w:rPr>
        <w:t>, IAB 5/5/10, effective 6/9/10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265—30.4</w:t>
      </w:r>
      <w:r>
        <w:rPr>
          <w:rFonts w:ascii="Times New Roman" w:hAnsi="Times New Roman"/>
          <w:b/>
          <w:i w:val="false"/>
          <w:color w:val="000000"/>
          <w:sz w:val="22"/>
        </w:rPr>
        <w:t xml:space="preserve">(16) </w:t>
      </w:r>
      <w:r>
        <w:rPr>
          <w:rFonts w:ascii="Times New Roman" w:hAnsi="Times New Roman"/>
          <w:b/>
          <w:i w:val="false"/>
          <w:color w:val="000000"/>
          <w:sz w:val="22"/>
        </w:rPr>
        <w:t xml:space="preserve">Allocation limit and Iowa department of economic development set-aside.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w:t>
      </w:r>
      <w:r>
        <w:rPr>
          <w:rFonts w:ascii="Times New Roman" w:hAnsi="Times New Roman"/>
          <w:b w:val="false"/>
          <w:i w:val="false"/>
          <w:color w:val="000000"/>
          <w:sz w:val="22"/>
        </w:rPr>
        <w:t> </w:t>
      </w:r>
      <w:r>
        <w:rPr>
          <w:rFonts w:ascii="Times New Roman" w:hAnsi="Times New Roman"/>
          <w:b w:val="false"/>
          <w:i w:val="false"/>
          <w:color w:val="000000"/>
          <w:sz w:val="22"/>
        </w:rPr>
        <w:t>Per-applicant cap; set-aside.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Through December 31, 2011, allotments shall be limited to not more than $200 million per applicant, with any related party, as defined under Section 267 of the Internal Revenue Code, being included within the meaning of applicant for the application of subrule 30.4(1). This limitation shall not apply to any project recommended by the Iowa department of economic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Through December 31, 2011, an amount of $300 million shall be set aside and made available to applicants selected by the Iowa department of economic development. The director of the Iowa department of economic development shall notify the authority in writing of the name of each applicant that is to receive an allotment under subrule 30.4(1) and the amount allotted to each applicant. Promptly upon receipt of this written notice, the authority shall award the designated allotment to said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Following December 31, 2011, all unallocated allotments under paragraph </w:t>
      </w:r>
      <w:hyperlink r:id="rId6">
        <w:r>
          <w:rPr>
            <w:rStyle w:val="Hyperlink"/>
            <w:rFonts w:ascii="Times New Roman" w:hAnsi="Times New Roman"/>
            <w:b w:val="false"/>
            <w:i w:val="false"/>
            <w:color w:val="000000"/>
            <w:sz w:val="22"/>
          </w:rPr>
          <w:t>30.4(1)</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be available to all eligible projects. Following December 31, 2011, the per-applicant cap set forth in paragraph </w:t>
      </w:r>
      <w:hyperlink r:id="rId7">
        <w:r>
          <w:rPr>
            <w:rStyle w:val="Hyperlink"/>
            <w:rFonts w:ascii="Times New Roman" w:hAnsi="Times New Roman"/>
            <w:b w:val="false"/>
            <w:i w:val="false"/>
            <w:color w:val="000000"/>
            <w:sz w:val="22"/>
          </w:rPr>
          <w:t>30.4(1)</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not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subrule </w:t>
      </w:r>
      <w:hyperlink r:id="rId8">
        <w:r>
          <w:rPr>
            <w:rStyle w:val="Hyperlink"/>
            <w:rFonts w:ascii="Times New Roman" w:hAnsi="Times New Roman"/>
            <w:b w:val="false"/>
            <w:i w:val="false"/>
            <w:color w:val="000000"/>
            <w:sz w:val="22"/>
          </w:rPr>
          <w:t>30.4(1)</w:t>
        </w:r>
      </w:hyperlink>
      <w:r>
        <w:rPr>
          <w:rFonts w:ascii="Times New Roman" w:hAnsi="Times New Roman"/>
          <w:b w:val="false"/>
          <w:i w:val="false"/>
          <w:color w:val="000000"/>
          <w:sz w:val="22"/>
        </w:rPr>
        <w:t xml:space="preserve"> above, allotments shall be allocated among eligible applications on the basis of the chronological order of receipt of applications. Chronological order of receipt shall be determined by the date, hour and minute indicated by the time stamp as affixed to the application at the offices of the governor’s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applications that are received by the governor’s designee on or prior to December 22, 2008, pursuant to the provisions of rule </w:t>
      </w:r>
      <w:hyperlink r:id="rId9">
        <w:r>
          <w:rPr>
            <w:rStyle w:val="Hyperlink"/>
            <w:rFonts w:ascii="Times New Roman" w:hAnsi="Times New Roman"/>
            <w:b w:val="false"/>
            <w:i w:val="false"/>
            <w:color w:val="000000"/>
            <w:sz w:val="22"/>
          </w:rPr>
          <w:t>265—30.5</w:t>
        </w:r>
      </w:hyperlink>
      <w:r>
        <w:rPr>
          <w:rFonts w:ascii="Times New Roman" w:hAnsi="Times New Roman"/>
          <w:b w:val="false"/>
          <w:i w:val="false"/>
          <w:color w:val="000000"/>
          <w:sz w:val="22"/>
        </w:rPr>
        <w:t xml:space="preserve">(16) shall be considered simultaneously received at the opening of business on December 22, 2008, and the same date, hour and minute shall be stamped on each application so received. If the total amount of allotments requested in all of the applications received for projects located in a particular county exceeds the total amount that may be allocated for such county, the applications will be considered for allocation in the order determined pursuant to the procedures set forth in subrule </w:t>
      </w:r>
      <w:hyperlink r:id="rId10">
        <w:r>
          <w:rPr>
            <w:rStyle w:val="Hyperlink"/>
            <w:rFonts w:ascii="Times New Roman" w:hAnsi="Times New Roman"/>
            <w:b w:val="false"/>
            <w:i w:val="false"/>
            <w:color w:val="000000"/>
            <w:sz w:val="22"/>
          </w:rPr>
          <w:t>30.4(4)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w:t>
      </w:r>
      <w:r>
        <w:rPr>
          <w:rFonts w:ascii="Times New Roman" w:hAnsi="Times New Roman"/>
          <w:b w:val="false"/>
          <w:i w:val="false"/>
          <w:color w:val="000000"/>
          <w:sz w:val="22"/>
        </w:rPr>
        <w:t> </w:t>
      </w:r>
      <w:r>
        <w:rPr>
          <w:rFonts w:ascii="Times New Roman" w:hAnsi="Times New Roman"/>
          <w:b w:val="false"/>
          <w:i w:val="false"/>
          <w:color w:val="000000"/>
          <w:sz w:val="22"/>
        </w:rPr>
        <w:t xml:space="preserve">In order to determine the order of allocation of the allotments to two or more applications that are simultaneously received pursuant to subrule </w:t>
      </w:r>
      <w:hyperlink r:id="rId11">
        <w:r>
          <w:rPr>
            <w:rStyle w:val="Hyperlink"/>
            <w:rFonts w:ascii="Times New Roman" w:hAnsi="Times New Roman"/>
            <w:b w:val="false"/>
            <w:i w:val="false"/>
            <w:color w:val="000000"/>
            <w:sz w:val="22"/>
          </w:rPr>
          <w:t>30.4(3)</w:t>
        </w:r>
      </w:hyperlink>
      <w:r>
        <w:rPr>
          <w:rFonts w:ascii="Times New Roman" w:hAnsi="Times New Roman"/>
          <w:b w:val="false"/>
          <w:i w:val="false"/>
          <w:color w:val="000000"/>
          <w:sz w:val="22"/>
        </w:rPr>
        <w:t xml:space="preserve"> and for which there is insufficient capacity to allocate to each the full allotment requested, each such application shall be assigned a preference number determined by a random drawing to be conducted at the Iowa finance authority offices within one week following the receipt of the applications. The authority shall notify the affected applicants in writing and shall post a notice at its offices of the time and place of the drawing not less than three days prior to the scheduled drawing. Any person desiring to attend and witness the drawing and assigning of preference numbers may do so. Each application shall be assigned an identification code that shall be written on the outside of the sealed envelope containing the application. The identification codes shall be written on strips of paper and placed in individual envelopes and sealed. The sealed envelopes containing identification codes shall be placed in a container, mixed, and drawn from the container at random by a member of the authority’s staff. The application that corresponds to the identification code that is drawn first shall be placed first on the list of applicants to receive an allotment. The application that corresponds to the identification code that is selected second shall be placed second on the list, and so forth. Drawings shall continue until all applications are assigned a place on the list of applications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w:t>
      </w:r>
      <w:r>
        <w:rPr>
          <w:rFonts w:ascii="Times New Roman" w:hAnsi="Times New Roman"/>
          <w:b w:val="false"/>
          <w:i w:val="false"/>
          <w:color w:val="000000"/>
          <w:sz w:val="22"/>
        </w:rPr>
        <w:t> </w:t>
      </w:r>
      <w:r>
        <w:rPr>
          <w:rFonts w:ascii="Times New Roman" w:hAnsi="Times New Roman"/>
          <w:b w:val="false"/>
          <w:i w:val="false"/>
          <w:color w:val="000000"/>
          <w:sz w:val="22"/>
        </w:rPr>
        <w:t xml:space="preserve">The governor’s designee shall maintain a list of applications for MDA bonds. Any applications that are deemed to be simultaneously received shall be listed in the order of preferences established pursuant to subrule </w:t>
      </w:r>
      <w:hyperlink r:id="rId12">
        <w:r>
          <w:rPr>
            <w:rStyle w:val="Hyperlink"/>
            <w:rFonts w:ascii="Times New Roman" w:hAnsi="Times New Roman"/>
            <w:b w:val="false"/>
            <w:i w:val="false"/>
            <w:color w:val="000000"/>
            <w:sz w:val="22"/>
          </w:rPr>
          <w:t>30.4(4)</w:t>
        </w:r>
      </w:hyperlink>
      <w:r>
        <w:rPr>
          <w:rFonts w:ascii="Times New Roman" w:hAnsi="Times New Roman"/>
          <w:b w:val="false"/>
          <w:i w:val="false"/>
          <w:color w:val="000000"/>
          <w:sz w:val="22"/>
        </w:rPr>
        <w:t>. Applications received after December 22, 2008, shall be added to the appropriate list depending upon the subject of the application in the chronological order received.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7703B</w:t>
      </w:r>
      <w:r>
        <w:rPr>
          <w:rFonts w:ascii="Times New Roman" w:hAnsi="Times New Roman"/>
          <w:b w:val="false"/>
          <w:i w:val="false"/>
          <w:color w:val="000000"/>
          <w:sz w:val="16"/>
        </w:rPr>
        <w:t>, IAB 4/8/09, effective 5/13/09</w:t>
      </w:r>
      <w:r>
        <w:rPr>
          <w:rFonts w:ascii="Times New Roman" w:hAnsi="Times New Roman"/>
          <w:b w:val="false"/>
          <w:i w:val="false"/>
          <w:color w:val="000000"/>
          <w:sz w:val="16"/>
        </w:rPr>
        <w:t xml:space="preserve">; </w:t>
      </w:r>
      <w:r>
        <w:rPr>
          <w:rFonts w:ascii="Times New Roman" w:hAnsi="Times New Roman"/>
          <w:b/>
          <w:i w:val="false"/>
          <w:color w:val="000000"/>
          <w:sz w:val="16"/>
        </w:rPr>
        <w:t>ARC 8548B</w:t>
      </w:r>
      <w:r>
        <w:rPr>
          <w:rFonts w:ascii="Times New Roman" w:hAnsi="Times New Roman"/>
          <w:b w:val="false"/>
          <w:i w:val="false"/>
          <w:color w:val="000000"/>
          <w:sz w:val="16"/>
        </w:rPr>
        <w:t>, IAB 2/24/10, effective 2/4/10</w:t>
      </w:r>
      <w:r>
        <w:rPr>
          <w:rFonts w:ascii="Times New Roman" w:hAnsi="Times New Roman"/>
          <w:b w:val="false"/>
          <w:i w:val="false"/>
          <w:color w:val="000000"/>
          <w:sz w:val="16"/>
        </w:rPr>
        <w:t xml:space="preserve">; </w:t>
      </w:r>
      <w:r>
        <w:rPr>
          <w:rFonts w:ascii="Times New Roman" w:hAnsi="Times New Roman"/>
          <w:b/>
          <w:i w:val="false"/>
          <w:color w:val="000000"/>
          <w:sz w:val="16"/>
        </w:rPr>
        <w:t>ARC 8724B</w:t>
      </w:r>
      <w:r>
        <w:rPr>
          <w:rFonts w:ascii="Times New Roman" w:hAnsi="Times New Roman"/>
          <w:b w:val="false"/>
          <w:i w:val="false"/>
          <w:color w:val="000000"/>
          <w:sz w:val="16"/>
        </w:rPr>
        <w:t>, IAB 5/5/10, effective 6/9/10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265—30.5</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Application for allocation.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30.5(1)</w:t>
      </w:r>
      <w:r>
        <w:rPr>
          <w:rFonts w:ascii="Times New Roman" w:hAnsi="Times New Roman"/>
          <w:b w:val="false"/>
          <w:i w:val="false"/>
          <w:color w:val="000000"/>
          <w:sz w:val="22"/>
        </w:rPr>
        <w:t> </w:t>
      </w:r>
      <w:r>
        <w:rPr>
          <w:rFonts w:ascii="Times New Roman" w:hAnsi="Times New Roman"/>
          <w:b w:val="false"/>
          <w:i w:val="false"/>
          <w:color w:val="000000"/>
          <w:sz w:val="22"/>
        </w:rPr>
        <w:t>An applicant must produce to the governor’s designee an inducement resolution adopted by a governmental entity authorized to issue bonds.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30.5(2)</w:t>
      </w:r>
      <w:r>
        <w:rPr>
          <w:rFonts w:ascii="Times New Roman" w:hAnsi="Times New Roman"/>
          <w:b w:val="false"/>
          <w:i w:val="false"/>
          <w:color w:val="000000"/>
          <w:sz w:val="22"/>
        </w:rPr>
        <w:t> </w:t>
      </w:r>
      <w:r>
        <w:rPr>
          <w:rFonts w:ascii="Times New Roman" w:hAnsi="Times New Roman"/>
          <w:b w:val="false"/>
          <w:i w:val="false"/>
          <w:color w:val="000000"/>
          <w:sz w:val="22"/>
        </w:rPr>
        <w:t>An applicant or beneficiary, or the duly authorized agent of an applicant or beneficiary, must make an application by filing the form entitled “Application for Midwestern Disaster Area Bonds” available from the governor’s designee for the allocation of an allotment.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may be submitted to the Iowa finance authority offices at any time. All applications received on or prior to December 22, 2008, will be deemed received simultaneously as of the date, hour and minute of the opening of business of the Iowa finance authority on the first business day immediately following December 22, 2008.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7703B</w:t>
      </w:r>
      <w:r>
        <w:rPr>
          <w:rFonts w:ascii="Times New Roman" w:hAnsi="Times New Roman"/>
          <w:b w:val="false"/>
          <w:i w:val="false"/>
          <w:color w:val="000000"/>
          <w:sz w:val="16"/>
        </w:rPr>
        <w:t>, IAB 4/8/09, effective 5/13/09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265—30.6</w:t>
      </w:r>
      <w:r>
        <w:rPr>
          <w:rFonts w:ascii="Times New Roman" w:hAnsi="Times New Roman"/>
          <w:b/>
          <w:i w:val="false"/>
          <w:color w:val="000000"/>
          <w:sz w:val="22"/>
        </w:rPr>
        <w:t xml:space="preserve">(16) </w:t>
      </w:r>
      <w:r>
        <w:rPr>
          <w:rFonts w:ascii="Times New Roman" w:hAnsi="Times New Roman"/>
          <w:b/>
          <w:i w:val="false"/>
          <w:color w:val="000000"/>
          <w:sz w:val="22"/>
        </w:rPr>
        <w:t xml:space="preserve">Certification of allocation. </w:t>
      </w:r>
      <w:r>
        <w:rPr>
          <w:rFonts w:ascii="Times New Roman" w:hAnsi="Times New Roman"/>
          <w:b w:val="false"/>
          <w:i w:val="false"/>
          <w:color w:val="000000"/>
          <w:sz w:val="22"/>
        </w:rPr>
        <w:t>Upon receipt of a completed application, the governor’s designee shall promptly certify to the applicant the amount of the allotment allocated to the project for which the application was submitted. Subject to subrule 30.4(1), the governor’s designee shall continue to allocate allotments for eligible projects until the allotments allocated equal the maximum aggregate face amount that may be designated as MDA bonds under the Act or until there are no more applications, whichever occurs first. If the remaining allotment capacity is not sufficient to fully fund an application which is next in order for allocation, the governor’s designee shall notify the applicant of the amount that is available and the applicant shall have the option to take what is available within five calendar days of receiving notice of availability. If the applicant does not notify the governor’s designee of its decision to take the available allocation within five calendar days of receiving notice of that option, an allotment shall be offered to the next application on the list under the same conditions. If the partial allocation is accepted, the applicant shall submit a new application for an additional allotment and that application will be added to the bottom of the list in the chronological order of its receipt. If the bonds are issued and delivered prior to the expiration date of the allocation, then the applicant or the applicant’s attorney shall within ten days following the issuance and delivery of the bonds notify the governor’s designee by filing the form captioned “Notice of Issuance and Delivery of Bonds.”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7703B</w:t>
      </w:r>
      <w:r>
        <w:rPr>
          <w:rFonts w:ascii="Times New Roman" w:hAnsi="Times New Roman"/>
          <w:b w:val="false"/>
          <w:i w:val="false"/>
          <w:color w:val="000000"/>
          <w:sz w:val="16"/>
        </w:rPr>
        <w:t>, IAB 4/8/09, effective 5/13/09</w:t>
      </w:r>
      <w:r>
        <w:rPr>
          <w:rFonts w:ascii="Times New Roman" w:hAnsi="Times New Roman"/>
          <w:b w:val="false"/>
          <w:i w:val="false"/>
          <w:color w:val="000000"/>
          <w:sz w:val="16"/>
        </w:rPr>
        <w:t xml:space="preserve">; </w:t>
      </w:r>
      <w:r>
        <w:rPr>
          <w:rFonts w:ascii="Times New Roman" w:hAnsi="Times New Roman"/>
          <w:b/>
          <w:i w:val="false"/>
          <w:color w:val="000000"/>
          <w:sz w:val="16"/>
        </w:rPr>
        <w:t>ARC 8548B</w:t>
      </w:r>
      <w:r>
        <w:rPr>
          <w:rFonts w:ascii="Times New Roman" w:hAnsi="Times New Roman"/>
          <w:b w:val="false"/>
          <w:i w:val="false"/>
          <w:color w:val="000000"/>
          <w:sz w:val="16"/>
        </w:rPr>
        <w:t>, IAB 2/24/10, effective 2/4/10</w:t>
      </w:r>
      <w:r>
        <w:rPr>
          <w:rFonts w:ascii="Times New Roman" w:hAnsi="Times New Roman"/>
          <w:b w:val="false"/>
          <w:i w:val="false"/>
          <w:color w:val="000000"/>
          <w:sz w:val="16"/>
        </w:rPr>
        <w:t xml:space="preserve">; </w:t>
      </w:r>
      <w:r>
        <w:rPr>
          <w:rFonts w:ascii="Times New Roman" w:hAnsi="Times New Roman"/>
          <w:b/>
          <w:i w:val="false"/>
          <w:color w:val="000000"/>
          <w:sz w:val="16"/>
        </w:rPr>
        <w:t>ARC 8724B</w:t>
      </w:r>
      <w:r>
        <w:rPr>
          <w:rFonts w:ascii="Times New Roman" w:hAnsi="Times New Roman"/>
          <w:b w:val="false"/>
          <w:i w:val="false"/>
          <w:color w:val="000000"/>
          <w:sz w:val="16"/>
        </w:rPr>
        <w:t>, IAB 5/5/10, effective 6/9/10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265—30.7</w:t>
      </w:r>
      <w:r>
        <w:rPr>
          <w:rFonts w:ascii="Times New Roman" w:hAnsi="Times New Roman"/>
          <w:b/>
          <w:i w:val="false"/>
          <w:color w:val="000000"/>
          <w:sz w:val="22"/>
        </w:rPr>
        <w:t xml:space="preserve">(16) </w:t>
      </w:r>
      <w:r>
        <w:rPr>
          <w:rFonts w:ascii="Times New Roman" w:hAnsi="Times New Roman"/>
          <w:b/>
          <w:i w:val="false"/>
          <w:color w:val="000000"/>
          <w:sz w:val="22"/>
        </w:rPr>
        <w:t xml:space="preserve">Expiration of allocations. </w:t>
      </w:r>
      <w:r>
        <w:rPr>
          <w:rFonts w:ascii="Times New Roman" w:hAnsi="Times New Roman"/>
          <w:b w:val="false"/>
          <w:i w:val="false"/>
          <w:color w:val="000000"/>
          <w:sz w:val="22"/>
        </w:rPr>
        <w:t>An allocation of an allotment pursuant to this chapter shall remain valid for 150 days from the date of allocation. If the sale of bonds for which an allocation was made has not closed within such time, the allocation shall expire and the allotment shall revert to the governor’s designee to be reallocated, if possible; provided, however, that if the 150th day following the date of allocation is a Saturday, Sunday, or any day on which the offices of the state banking institutions or savings and loan associations in the state are authorized or required to close, the expiration date shall be extended to the first day thereafter which is not a Saturday, Sunday or previously described day. All MDA bonds must be issued prior to January 1, 2013.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7703B</w:t>
      </w:r>
      <w:r>
        <w:rPr>
          <w:rFonts w:ascii="Times New Roman" w:hAnsi="Times New Roman"/>
          <w:b w:val="false"/>
          <w:i w:val="false"/>
          <w:color w:val="000000"/>
          <w:sz w:val="16"/>
        </w:rPr>
        <w:t>, IAB 4/8/09, effective 5/13/09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265—30.8</w:t>
      </w:r>
      <w:r>
        <w:rPr>
          <w:rFonts w:ascii="Times New Roman" w:hAnsi="Times New Roman"/>
          <w:b/>
          <w:i w:val="false"/>
          <w:color w:val="000000"/>
          <w:sz w:val="22"/>
        </w:rPr>
        <w:t xml:space="preserve">(16) </w:t>
      </w:r>
      <w:r>
        <w:rPr>
          <w:rFonts w:ascii="Times New Roman" w:hAnsi="Times New Roman"/>
          <w:b/>
          <w:i w:val="false"/>
          <w:color w:val="000000"/>
          <w:sz w:val="22"/>
        </w:rPr>
        <w:t xml:space="preserve">Resubmission of expired allocations. </w:t>
      </w:r>
      <w:r>
        <w:rPr>
          <w:rFonts w:ascii="Times New Roman" w:hAnsi="Times New Roman"/>
          <w:b w:val="false"/>
          <w:i w:val="false"/>
          <w:color w:val="000000"/>
          <w:sz w:val="22"/>
        </w:rPr>
        <w:t>If an allocation expires, the applicant may resubmit its application for the same project or purpose. However, the resubmitted application shall be treated as a new application, and preference, priority or prejudice shall not be given to the application or the applicant as a result of the prior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7703B</w:t>
      </w:r>
      <w:r>
        <w:rPr>
          <w:rFonts w:ascii="Times New Roman" w:hAnsi="Times New Roman"/>
          <w:b w:val="false"/>
          <w:i w:val="false"/>
          <w:color w:val="000000"/>
          <w:sz w:val="16"/>
        </w:rPr>
        <w:t>, IAB 4/8/09, effective 5/13/09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265—30.9</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Application and allocation fees. </w:t>
      </w:r>
      <w:r>
        <w:rPr>
          <w:rFonts w:ascii="Times New Roman" w:hAnsi="Times New Roman"/>
          <w:b w:val="false"/>
          <w:i w:val="false"/>
          <w:color w:val="000000"/>
          <w:sz w:val="22"/>
        </w:rPr>
        <w:t>The Iowa finance authority may set and charge reasonable fees for providing administrative assistance with regard to the filing of applications and the allocation of the qualified MDA bond allotments in accordance with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7703B</w:t>
      </w:r>
      <w:r>
        <w:rPr>
          <w:rFonts w:ascii="Times New Roman" w:hAnsi="Times New Roman"/>
          <w:b w:val="false"/>
          <w:i w:val="false"/>
          <w:color w:val="000000"/>
          <w:sz w:val="16"/>
        </w:rPr>
        <w:t>, IAB 4/8/09, effective 5/13/09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16.5(1)</w:t>
        </w:r>
        <w:r>
          <w:rPr>
            <w:rFonts w:ascii="Times New Roman" w:hAnsi="Times New Roman"/>
            <w:b w:val="false"/>
            <w:i/>
            <w:color w:val="000000"/>
            <w:sz w:val="22"/>
          </w:rPr>
          <w:t>“r,”</w:t>
        </w:r>
      </w:hyperlink>
      <w:r>
        <w:rPr>
          <w:rFonts w:ascii="Times New Roman" w:hAnsi="Times New Roman"/>
          <w:b w:val="false"/>
          <w:i w:val="false"/>
          <w:color w:val="000000"/>
          <w:sz w:val="22"/>
        </w:rPr>
        <w:t xml:space="preserve"> the </w:t>
      </w:r>
      <w:r>
        <w:rPr>
          <w:rFonts w:ascii="Times New Roman" w:hAnsi="Times New Roman"/>
          <w:b w:val="false"/>
          <w:i w:val="false"/>
          <w:color w:val="000000"/>
          <w:sz w:val="22"/>
        </w:rPr>
        <w:t>Heartland Disaster Tax Relief Act of 2008</w:t>
      </w:r>
      <w:r>
        <w:rPr>
          <w:rFonts w:ascii="Times New Roman" w:hAnsi="Times New Roman"/>
          <w:b w:val="false"/>
          <w:i w:val="false"/>
          <w:color w:val="000000"/>
          <w:sz w:val="22"/>
        </w:rPr>
        <w:t xml:space="preserve">, and </w:t>
      </w:r>
    </w:p>
    <w:p>
      <w:pPr>
        <w:spacing w:before="0" w:after="0"/>
        <w:ind w:left="120"/>
        <w:jc w:val="left"/>
      </w:pPr>
      <w:r>
        <w:rPr>
          <w:rFonts w:ascii="Times New Roman" w:hAnsi="Times New Roman"/>
          <w:b w:val="false"/>
          <w:i w:val="false"/>
          <w:color w:val="000000"/>
          <w:sz w:val="22"/>
        </w:rPr>
        <w:t>Executive Order Number 9</w:t>
      </w:r>
    </w:p>
    <w:p>
      <w:pPr>
        <w:spacing w:before="0" w:after="0"/>
        <w:ind w:left="120"/>
        <w:jc w:val="left"/>
      </w:pP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12/22/08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7703B</w:t>
      </w:r>
      <w:r>
        <w:rPr>
          <w:rFonts w:ascii="Times New Roman" w:hAnsi="Times New Roman"/>
          <w:b w:val="false"/>
          <w:i w:val="false"/>
          <w:color w:val="000000"/>
          <w:sz w:val="21"/>
        </w:rPr>
        <w:t xml:space="preserve"> (Notice ARC 7512B, IAB 1/14/09)</w:t>
      </w:r>
      <w:r>
        <w:rPr>
          <w:rFonts w:ascii="Times New Roman" w:hAnsi="Times New Roman"/>
          <w:b w:val="false"/>
          <w:i w:val="false"/>
          <w:color w:val="000000"/>
          <w:sz w:val="21"/>
        </w:rPr>
        <w:t>, IAB 4/8/09, effective 5/13/09]</w:t>
      </w:r>
    </w:p>
    <w:p>
      <w:pPr>
        <w:spacing w:before="0" w:after="0"/>
        <w:ind w:left="120"/>
        <w:jc w:val="center"/>
      </w:pPr>
      <w:r>
        <w:rPr>
          <w:rFonts w:ascii="Times New Roman" w:hAnsi="Times New Roman"/>
          <w:b w:val="false"/>
          <w:i w:val="false"/>
          <w:color w:val="000000"/>
          <w:sz w:val="21"/>
        </w:rPr>
        <w:t>[Filed Emergency ARC 8548B, IAB 2/24/10, effective 2/4/10]</w:t>
      </w:r>
    </w:p>
    <w:p>
      <w:pPr>
        <w:spacing w:before="0" w:after="0"/>
        <w:ind w:left="120"/>
        <w:jc w:val="center"/>
      </w:pPr>
      <w:r>
        <w:rPr>
          <w:rFonts w:ascii="Times New Roman" w:hAnsi="Times New Roman"/>
          <w:b w:val="false"/>
          <w:i w:val="false"/>
          <w:color w:val="000000"/>
          <w:sz w:val="21"/>
        </w:rPr>
        <w:t>[Filed ARC 8724B</w:t>
      </w:r>
      <w:r>
        <w:rPr>
          <w:rFonts w:ascii="Times New Roman" w:hAnsi="Times New Roman"/>
          <w:b w:val="false"/>
          <w:i w:val="false"/>
          <w:color w:val="000000"/>
          <w:sz w:val="21"/>
        </w:rPr>
        <w:t xml:space="preserve"> (Notice ARC 8549B, IAB 2/24/10)</w:t>
      </w:r>
      <w:r>
        <w:rPr>
          <w:rFonts w:ascii="Times New Roman" w:hAnsi="Times New Roman"/>
          <w:b w:val="false"/>
          <w:i w:val="false"/>
          <w:color w:val="000000"/>
          <w:sz w:val="21"/>
        </w:rPr>
        <w:t>, IAB 5/5/10, effective 6/9/10]</w:t>
      </w:r>
    </w:p>
    <w:p>
      <w:pPr>
        <w:spacing w:before="0" w:after="0"/>
        <w:ind w:left="120"/>
        <w:jc w:val="center"/>
      </w:pPr>
      <w:r>
        <w:rPr>
          <w:rFonts w:ascii="Times New Roman" w:hAnsi="Times New Roman"/>
          <w:b w:val="false"/>
          <w:i w:val="false"/>
          <w:color w:val="000000"/>
          <w:sz w:val="21"/>
        </w:rPr>
        <w:t>[Filed ARC 4319C</w:t>
      </w:r>
      <w:r>
        <w:rPr>
          <w:rFonts w:ascii="Times New Roman" w:hAnsi="Times New Roman"/>
          <w:b w:val="false"/>
          <w:i w:val="false"/>
          <w:color w:val="000000"/>
          <w:sz w:val="21"/>
        </w:rPr>
        <w:t xml:space="preserve"> (Notice ARC 4196C, IAB 1/2/19)</w:t>
      </w:r>
      <w:r>
        <w:rPr>
          <w:rFonts w:ascii="Times New Roman" w:hAnsi="Times New Roman"/>
          <w:b w:val="false"/>
          <w:i w:val="false"/>
          <w:color w:val="000000"/>
          <w:sz w:val="21"/>
        </w:rPr>
        <w:t>, IAB 2/27/19, effective 4/3/19]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iowafinanceauthority.gov" Type="http://schemas.openxmlformats.org/officeDocument/2006/relationships/hyperlink" Id="rId5"/>
    <Relationship TargetMode="External" Target="https://www.legis.iowa.gov/docs/iac/rule/265.30.4.pdf" Type="http://schemas.openxmlformats.org/officeDocument/2006/relationships/hyperlink" Id="rId6"/>
    <Relationship TargetMode="External" Target="https://www.legis.iowa.gov/docs/iac/rule/265.30.4.pdf" Type="http://schemas.openxmlformats.org/officeDocument/2006/relationships/hyperlink" Id="rId7"/>
    <Relationship TargetMode="External" Target="https://www.legis.iowa.gov/docs/iac/rule/265.30.4.pdf" Type="http://schemas.openxmlformats.org/officeDocument/2006/relationships/hyperlink" Id="rId8"/>
    <Relationship TargetMode="External" Target="https://www.legis.iowa.gov/docs/iac/rule/265.30.5.pdf" Type="http://schemas.openxmlformats.org/officeDocument/2006/relationships/hyperlink" Id="rId9"/>
    <Relationship TargetMode="External" Target="https://www.legis.iowa.gov/docs/iac/rule/265.30.4.pdf" Type="http://schemas.openxmlformats.org/officeDocument/2006/relationships/hyperlink" Id="rId10"/>
    <Relationship TargetMode="External" Target="https://www.legis.iowa.gov/docs/iac/rule/265.30.4.pdf" Type="http://schemas.openxmlformats.org/officeDocument/2006/relationships/hyperlink" Id="rId11"/>
    <Relationship TargetMode="External" Target="https://www.legis.iowa.gov/docs/iac/rule/265.30.4.pdf" Type="http://schemas.openxmlformats.org/officeDocument/2006/relationships/hyperlink" Id="rId12"/>
    <Relationship TargetMode="External" Target="https://www.legis.iowa.gov/docs/ico/chapter/16.5.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