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28</w:t>
      </w:r>
    </w:p>
    <w:p>
      <w:pPr>
        <w:spacing w:before="0" w:after="0"/>
        <w:ind w:left="120"/>
        <w:jc w:val="center"/>
      </w:pPr>
      <w:r>
        <w:rPr>
          <w:rFonts w:ascii="Times New Roman" w:hAnsi="Times New Roman"/>
          <w:b w:val="false"/>
          <w:i w:val="false"/>
          <w:color w:val="000000"/>
          <w:sz w:val="21"/>
        </w:rPr>
        <w:t>WASTEWATER AND DRINKING WATER TREATMENT FINANCIAL ASSISTANCE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265—28.1</w:t>
      </w:r>
      <w:r>
        <w:rPr>
          <w:rFonts w:ascii="Times New Roman" w:hAnsi="Times New Roman"/>
          <w:b/>
          <w:i w:val="false"/>
          <w:color w:val="000000"/>
          <w:sz w:val="22"/>
        </w:rPr>
        <w:t xml:space="preserve">(16) </w:t>
      </w:r>
      <w:r>
        <w:rPr>
          <w:rFonts w:ascii="Times New Roman" w:hAnsi="Times New Roman"/>
          <w:b/>
          <w:i w:val="false"/>
          <w:color w:val="000000"/>
          <w:sz w:val="22"/>
        </w:rPr>
        <w:t xml:space="preserve">Overview.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28.1(1)</w:t>
      </w:r>
      <w:r>
        <w:rPr>
          <w:rFonts w:ascii="Times New Roman" w:hAnsi="Times New Roman"/>
          <w:b w:val="false"/>
          <w:i w:val="false"/>
          <w:color w:val="000000"/>
          <w:sz w:val="22"/>
        </w:rPr>
        <w:t> </w:t>
      </w:r>
      <w:r>
        <w:rPr>
          <w:rFonts w:ascii="Times New Roman" w:hAnsi="Times New Roman"/>
          <w:b w:val="false"/>
          <w:i/>
          <w:color w:val="000000"/>
          <w:sz w:val="22"/>
        </w:rPr>
        <w:t xml:space="preserve"> Sources of funds. </w:t>
      </w:r>
      <w:r>
        <w:rPr>
          <w:rFonts w:ascii="Times New Roman" w:hAnsi="Times New Roman"/>
          <w:b w:val="false"/>
          <w:i w:val="false"/>
          <w:color w:val="000000"/>
          <w:sz w:val="22"/>
        </w:rPr>
        <w:t>The wastewater and drinking water treatment financial assistance fund shall consist of appropriations made to the fund and transfers of interest, earnings, and moneys from other funds as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 program is to provide financial assistance to enhance water quality. Financial assistance under the program shall be used for eligible costs to install or upgrade wastewater treatment facilities and systems and drinking water treatment facilities and systems, including source water protection projects, and for engineering or technical assistance for facility planning and design.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4211C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265—28.2</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“IFA” </w:t>
      </w:r>
      <w:r>
        <w:rPr>
          <w:rFonts w:ascii="Times New Roman" w:hAnsi="Times New Roman"/>
          <w:b w:val="false"/>
          <w:i w:val="false"/>
          <w:color w:val="000000"/>
          <w:sz w:val="22"/>
        </w:rPr>
        <w:t xml:space="preserve">means the Iowa finance authority as established by Iowa Code chapter </w:t>
      </w:r>
      <w:hyperlink r:id="rId5">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the water quality financing review committee consisting of the secretary of agriculture or the secretary’s designee, the executive director of the authority or the executive director’s designee, and the director of the department of natural resources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w:t>
      </w:r>
      <w:r>
        <w:rPr>
          <w:rFonts w:ascii="Times New Roman" w:hAnsi="Times New Roman"/>
          <w:b w:val="false"/>
          <w:i w:val="false"/>
          <w:color w:val="000000"/>
          <w:sz w:val="22"/>
        </w:rPr>
        <w:t xml:space="preserve">means a city, county, sanitary district, rural water district, or other governmental body empowered to provide sewage collection and treatment services or drinking water distribution and treatment in connection with a project. “Community” includes a utility management organization formed under Iowa Code chapter </w:t>
      </w:r>
      <w:hyperlink r:id="rId6">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or operated by a rural water system organized under Iowa Code chapter </w:t>
      </w:r>
      <w:hyperlink r:id="rId7">
        <w:r>
          <w:rPr>
            <w:rStyle w:val="Hyperlink"/>
            <w:rFonts w:ascii="Times New Roman" w:hAnsi="Times New Roman"/>
            <w:b w:val="false"/>
            <w:i w:val="false"/>
            <w:color w:val="000000"/>
            <w:sz w:val="22"/>
          </w:rPr>
          <w:t>357A</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“Costs” </w:t>
      </w:r>
      <w:r>
        <w:rPr>
          <w:rFonts w:ascii="Times New Roman" w:hAnsi="Times New Roman"/>
          <w:b w:val="false"/>
          <w:i w:val="false"/>
          <w:color w:val="000000"/>
          <w:sz w:val="22"/>
        </w:rPr>
        <w:t>means all expenses incurred by the recipient and determined by the authority as reasonable and necessary to carry out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“DNR” </w:t>
      </w:r>
      <w:r>
        <w:rPr>
          <w:rFonts w:ascii="Times New Roman" w:hAnsi="Times New Roman"/>
          <w:b w:val="false"/>
          <w:i w:val="false"/>
          <w:color w:val="000000"/>
          <w:sz w:val="22"/>
        </w:rPr>
        <w:t>means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“Disadvantaged community”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455B.199B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wastewater and drinking water treatment financial assistance program created in Iowa Code section </w:t>
      </w:r>
      <w:hyperlink r:id="rId10">
        <w:r>
          <w:rPr>
            <w:rStyle w:val="Hyperlink"/>
            <w:rFonts w:ascii="Times New Roman" w:hAnsi="Times New Roman"/>
            <w:b w:val="false"/>
            <w:i w:val="false"/>
            <w:color w:val="000000"/>
            <w:sz w:val="22"/>
          </w:rPr>
          <w:t>16.134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the acquisition, construction, reconstruction, extension, equipping, improvement or rehabilitation of any works and facilities useful for the collection, treatment, and disposal of sewage and industrial waste in a sanitary manner and for drinking water infrastructure improvements, source water protection, and other activities intended to facilitate public water supply system compliance and public health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means the entity receiving funds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“SRF” </w:t>
      </w:r>
      <w:r>
        <w:rPr>
          <w:rFonts w:ascii="Times New Roman" w:hAnsi="Times New Roman"/>
          <w:b w:val="false"/>
          <w:i w:val="false"/>
          <w:color w:val="000000"/>
          <w:sz w:val="22"/>
        </w:rPr>
        <w:t>means the state revolving fund, which is the Iowa water pollution control works and drinking water facilities financing program administered by IFA and DNR.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4211C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265—28.3</w:t>
      </w:r>
      <w:r>
        <w:rPr>
          <w:rFonts w:ascii="Times New Roman" w:hAnsi="Times New Roman"/>
          <w:b/>
          <w:i w:val="false"/>
          <w:color w:val="000000"/>
          <w:sz w:val="22"/>
        </w:rPr>
        <w:t xml:space="preserve">(16) </w:t>
      </w:r>
      <w:r>
        <w:rPr>
          <w:rFonts w:ascii="Times New Roman" w:hAnsi="Times New Roman"/>
          <w:b/>
          <w:i w:val="false"/>
          <w:color w:val="000000"/>
          <w:sz w:val="22"/>
        </w:rPr>
        <w:t xml:space="preserve">Project 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28.3(1)</w:t>
      </w:r>
      <w:r>
        <w:rPr>
          <w:rFonts w:ascii="Times New Roman" w:hAnsi="Times New Roman"/>
          <w:b w:val="false"/>
          <w:i w:val="false"/>
          <w:color w:val="000000"/>
          <w:sz w:val="22"/>
        </w:rPr>
        <w:t> </w:t>
      </w:r>
      <w:r>
        <w:rPr>
          <w:rFonts w:ascii="Times New Roman" w:hAnsi="Times New Roman"/>
          <w:b w:val="false"/>
          <w:i/>
          <w:color w:val="000000"/>
          <w:sz w:val="22"/>
        </w:rPr>
        <w:t xml:space="preserve"> Approval of projects. </w:t>
      </w:r>
      <w:r>
        <w:rPr>
          <w:rFonts w:ascii="Times New Roman" w:hAnsi="Times New Roman"/>
          <w:b w:val="false"/>
          <w:i w:val="false"/>
          <w:color w:val="000000"/>
          <w:sz w:val="22"/>
        </w:rPr>
        <w:t>The committee will approve or deny applications for financial assistance. The committee will approve financial assistance from the fund in accordance with the priorities listed in subrule 28.3(2). The committee will determine the weighting of priorities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28.3(2)</w:t>
      </w:r>
      <w:r>
        <w:rPr>
          <w:rFonts w:ascii="Times New Roman" w:hAnsi="Times New Roman"/>
          <w:b w:val="false"/>
          <w:i w:val="false"/>
          <w:color w:val="000000"/>
          <w:sz w:val="22"/>
        </w:rPr>
        <w:t> </w:t>
      </w:r>
      <w:r>
        <w:rPr>
          <w:rFonts w:ascii="Times New Roman" w:hAnsi="Times New Roman"/>
          <w:b w:val="false"/>
          <w:i/>
          <w:color w:val="000000"/>
          <w:sz w:val="22"/>
        </w:rPr>
        <w:t xml:space="preserve">Project priority. </w:t>
      </w:r>
      <w:r>
        <w:rPr>
          <w:rFonts w:ascii="Times New Roman" w:hAnsi="Times New Roman"/>
          <w:b w:val="false"/>
          <w:i w:val="false"/>
          <w:color w:val="000000"/>
          <w:sz w:val="22"/>
        </w:rPr>
        <w:t>Priority will be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projects in which a disadvantaged community is seeking financial assistance for the installation or upgrade of wastewater treatment facilities and drinking water treatment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projects whose completion will provide significant improvement to water quality in the watershed.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communities that employ an alternative wastewater treatment technology pursuant to Iowa Code section </w:t>
      </w:r>
      <w:hyperlink r:id="rId11">
        <w:r>
          <w:rPr>
            <w:rStyle w:val="Hyperlink"/>
            <w:rFonts w:ascii="Times New Roman" w:hAnsi="Times New Roman"/>
            <w:b w:val="false"/>
            <w:i w:val="false"/>
            <w:color w:val="000000"/>
            <w:sz w:val="22"/>
          </w:rPr>
          <w:t>455B.199C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communities where sewer or water rates are the highest as a percentage of that community’s median household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communities that employ technology to address the goals of the Iowa nutrient reduction strategy.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 communities whose drinking water facilities and systems use as a supply, or to projects whose completion will improve, source waters or waters on the state’s impaired waters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28.3(3)</w:t>
      </w:r>
      <w:r>
        <w:rPr>
          <w:rFonts w:ascii="Times New Roman" w:hAnsi="Times New Roman"/>
          <w:b w:val="false"/>
          <w:i w:val="false"/>
          <w:color w:val="000000"/>
          <w:sz w:val="22"/>
        </w:rPr>
        <w:t> </w:t>
      </w:r>
      <w:r>
        <w:rPr>
          <w:rFonts w:ascii="Times New Roman" w:hAnsi="Times New Roman"/>
          <w:b w:val="false"/>
          <w:i/>
          <w:color w:val="000000"/>
          <w:sz w:val="22"/>
        </w:rPr>
        <w:t xml:space="preserve"> Awards. </w:t>
      </w:r>
      <w:r>
        <w:rPr>
          <w:rFonts w:ascii="Times New Roman" w:hAnsi="Times New Roman"/>
          <w:b w:val="false"/>
          <w:i w:val="false"/>
          <w:color w:val="000000"/>
          <w:sz w:val="22"/>
        </w:rPr>
        <w:t>Financial assistance in the form of grants will be issued on an annual basis. No recipient will receive a grant in excess of $500,000.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28.3(4)</w:t>
      </w:r>
      <w:r>
        <w:rPr>
          <w:rFonts w:ascii="Times New Roman" w:hAnsi="Times New Roman"/>
          <w:b w:val="false"/>
          <w:i w:val="false"/>
          <w:color w:val="000000"/>
          <w:sz w:val="22"/>
        </w:rPr>
        <w:t> </w:t>
      </w:r>
      <w:r>
        <w:rPr>
          <w:rFonts w:ascii="Times New Roman" w:hAnsi="Times New Roman"/>
          <w:b w:val="false"/>
          <w:i/>
          <w:color w:val="000000"/>
          <w:sz w:val="22"/>
        </w:rPr>
        <w:t xml:space="preserve">Costs. </w:t>
      </w:r>
      <w:r>
        <w:rPr>
          <w:rFonts w:ascii="Times New Roman" w:hAnsi="Times New Roman"/>
          <w:b w:val="false"/>
          <w:i w:val="false"/>
          <w:color w:val="000000"/>
          <w:sz w:val="22"/>
        </w:rPr>
        <w:t xml:space="preserve">All eligible costs must be documented to the satisfaction of the authority before proceeds may be disbursed.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28.3(5)</w:t>
      </w:r>
      <w:r>
        <w:rPr>
          <w:rFonts w:ascii="Times New Roman" w:hAnsi="Times New Roman"/>
          <w:b w:val="false"/>
          <w:i w:val="false"/>
          <w:color w:val="000000"/>
          <w:sz w:val="22"/>
        </w:rPr>
        <w:t> </w:t>
      </w:r>
      <w:r>
        <w:rPr>
          <w:rFonts w:ascii="Times New Roman" w:hAnsi="Times New Roman"/>
          <w:b w:val="false"/>
          <w:i/>
          <w:color w:val="000000"/>
          <w:sz w:val="22"/>
        </w:rPr>
        <w:t xml:space="preserve">Record retention. </w:t>
      </w:r>
      <w:r>
        <w:rPr>
          <w:rFonts w:ascii="Times New Roman" w:hAnsi="Times New Roman"/>
          <w:b w:val="false"/>
          <w:i w:val="false"/>
          <w:color w:val="000000"/>
          <w:sz w:val="22"/>
        </w:rPr>
        <w:t>The recipient shall maintain records that document all costs associated with the project. The recipient shall agree to provide access to these records to the authority. The recipient shall retain such records and documents for inspection and audit purposes for a period of three years from the date of the final disbursement of grant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28.3(6)</w:t>
      </w:r>
      <w:r>
        <w:rPr>
          <w:rFonts w:ascii="Times New Roman" w:hAnsi="Times New Roman"/>
          <w:b w:val="false"/>
          <w:i w:val="false"/>
          <w:color w:val="000000"/>
          <w:sz w:val="22"/>
        </w:rPr>
        <w:t> </w:t>
      </w:r>
      <w:r>
        <w:rPr>
          <w:rFonts w:ascii="Times New Roman" w:hAnsi="Times New Roman"/>
          <w:b w:val="false"/>
          <w:i/>
          <w:color w:val="000000"/>
          <w:sz w:val="22"/>
        </w:rPr>
        <w:t xml:space="preserve">Site access. </w:t>
      </w:r>
      <w:r>
        <w:rPr>
          <w:rFonts w:ascii="Times New Roman" w:hAnsi="Times New Roman"/>
          <w:b w:val="false"/>
          <w:i w:val="false"/>
          <w:color w:val="000000"/>
          <w:sz w:val="22"/>
        </w:rPr>
        <w:t>The recipient shall agree to provide the authority, the department and the department’s agent access to the project site at all times during the construction process to verify that the funds are being used for the purpose intended and that the construction work meets applicable state and federal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4211C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265—28.4</w:t>
      </w:r>
      <w:r>
        <w:rPr>
          <w:rFonts w:ascii="Times New Roman" w:hAnsi="Times New Roman"/>
          <w:b/>
          <w:i w:val="false"/>
          <w:color w:val="000000"/>
          <w:sz w:val="22"/>
        </w:rPr>
        <w:t xml:space="preserve">(16) </w:t>
      </w:r>
      <w:r>
        <w:rPr>
          <w:rFonts w:ascii="Times New Roman" w:hAnsi="Times New Roman"/>
          <w:b/>
          <w:i w:val="false"/>
          <w:color w:val="000000"/>
          <w:sz w:val="22"/>
        </w:rPr>
        <w:t xml:space="preserve">Termination; rectification of deficiencies; disputes.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28.4(1)</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The authority shall have the right to terminate any grant when terms of the agreement have been violated. Grants are subject to termination if construction has not begun within one year of the execution of a grant agreement. The director shall establish a repayment schedule for funds already disbursed to the recipient. All terminations shall 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28.4(2)</w:t>
      </w:r>
      <w:r>
        <w:rPr>
          <w:rFonts w:ascii="Times New Roman" w:hAnsi="Times New Roman"/>
          <w:b w:val="false"/>
          <w:i w:val="false"/>
          <w:color w:val="000000"/>
          <w:sz w:val="22"/>
        </w:rPr>
        <w:t> </w:t>
      </w:r>
      <w:r>
        <w:rPr>
          <w:rFonts w:ascii="Times New Roman" w:hAnsi="Times New Roman"/>
          <w:b w:val="false"/>
          <w:i/>
          <w:color w:val="000000"/>
          <w:sz w:val="22"/>
        </w:rPr>
        <w:t xml:space="preserve">Rectification of deficiencies. </w:t>
      </w:r>
      <w:r>
        <w:rPr>
          <w:rFonts w:ascii="Times New Roman" w:hAnsi="Times New Roman"/>
          <w:b w:val="false"/>
          <w:i w:val="false"/>
          <w:color w:val="000000"/>
          <w:sz w:val="22"/>
        </w:rPr>
        <w:t>Failure of the recipient to implement the approved project or to comply with the applicable requirements constitutes grounds for the authority to recapture or withhold funds. The recipient is responsible for ensuring that the identified deficiency is rectified. Once the deficiency is corrected, the funds can be released.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28.4(3)</w:t>
      </w:r>
      <w:r>
        <w:rPr>
          <w:rFonts w:ascii="Times New Roman" w:hAnsi="Times New Roman"/>
          <w:b w:val="false"/>
          <w:i w:val="false"/>
          <w:color w:val="000000"/>
          <w:sz w:val="22"/>
        </w:rPr>
        <w:t> </w:t>
      </w:r>
      <w:r>
        <w:rPr>
          <w:rFonts w:ascii="Times New Roman" w:hAnsi="Times New Roman"/>
          <w:b w:val="false"/>
          <w:i/>
          <w:color w:val="000000"/>
          <w:sz w:val="22"/>
        </w:rPr>
        <w:t xml:space="preserve">Disputes. </w:t>
      </w:r>
      <w:r>
        <w:rPr>
          <w:rFonts w:ascii="Times New Roman" w:hAnsi="Times New Roman"/>
          <w:b w:val="false"/>
          <w:i w:val="false"/>
          <w:color w:val="000000"/>
          <w:sz w:val="22"/>
        </w:rPr>
        <w:t>A recipient that disagrees with the director’s withholding of funds may request a formal review of the action. The recipient must submit a request in writing to the director within 30 days of notification by the authority of its planned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4211C</w:t>
      </w:r>
      <w:r>
        <w:rPr>
          <w:rFonts w:ascii="Times New Roman" w:hAnsi="Times New Roman"/>
          <w:b w:val="false"/>
          <w:i w:val="false"/>
          <w:color w:val="000000"/>
          <w:sz w:val="16"/>
        </w:rPr>
        <w:t>, IAB 1/2/19, effective 2/6/19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2">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11/1/06, Notice 8/30/06—published 11/22/06, effective 12/27/06]</w:t>
      </w:r>
    </w:p>
    <w:p>
      <w:pPr>
        <w:spacing w:before="0" w:after="0"/>
        <w:ind w:left="120"/>
        <w:jc w:val="center"/>
      </w:pPr>
      <w:r>
        <w:rPr>
          <w:rFonts w:ascii="Times New Roman" w:hAnsi="Times New Roman"/>
          <w:b w:val="false"/>
          <w:i w:val="false"/>
          <w:color w:val="000000"/>
          <w:sz w:val="21"/>
        </w:rPr>
        <w:t>[Filed emergency 12/27/06—published 1/17/07, effective 12/27/06]</w:t>
      </w:r>
    </w:p>
    <w:p>
      <w:pPr>
        <w:spacing w:before="0" w:after="0"/>
        <w:ind w:left="120"/>
        <w:jc w:val="center"/>
      </w:pPr>
      <w:r>
        <w:rPr>
          <w:rFonts w:ascii="Times New Roman" w:hAnsi="Times New Roman"/>
          <w:b w:val="false"/>
          <w:i w:val="false"/>
          <w:color w:val="000000"/>
          <w:sz w:val="21"/>
        </w:rPr>
        <w:t>[Filed ARC 4211C</w:t>
      </w:r>
      <w:r>
        <w:rPr>
          <w:rFonts w:ascii="Times New Roman" w:hAnsi="Times New Roman"/>
          <w:b w:val="false"/>
          <w:i w:val="false"/>
          <w:color w:val="000000"/>
          <w:sz w:val="21"/>
        </w:rPr>
        <w:t xml:space="preserve"> (Notice ARC 4090C, IAB 10/24/18)</w:t>
      </w:r>
      <w:r>
        <w:rPr>
          <w:rFonts w:ascii="Times New Roman" w:hAnsi="Times New Roman"/>
          <w:b w:val="false"/>
          <w:i w:val="false"/>
          <w:color w:val="000000"/>
          <w:sz w:val="21"/>
        </w:rPr>
        <w:t>, IAB 1/2/19, effective 2/6/19]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pdf" Type="http://schemas.openxmlformats.org/officeDocument/2006/relationships/hyperlink" Id="rId5"/>
    <Relationship TargetMode="External" Target="https://www.legis.iowa.gov/docs/ico/chapter/28E.pdf" Type="http://schemas.openxmlformats.org/officeDocument/2006/relationships/hyperlink" Id="rId6"/>
    <Relationship TargetMode="External" Target="https://www.legis.iowa.gov/docs/ico/chapter/357A.pdf" Type="http://schemas.openxmlformats.org/officeDocument/2006/relationships/hyperlink" Id="rId7"/>
    <Relationship TargetMode="External" Target="https://www.legis.iowa.gov/docs/ico/chapter/504.pdf" Type="http://schemas.openxmlformats.org/officeDocument/2006/relationships/hyperlink" Id="rId8"/>
    <Relationship TargetMode="External" Target="https://www.legis.iowa.gov/docs/ico/chapter/455B.199B.pdf" Type="http://schemas.openxmlformats.org/officeDocument/2006/relationships/hyperlink" Id="rId9"/>
    <Relationship TargetMode="External" Target="https://www.legis.iowa.gov/docs/ico/chapter/16.134.pdf" Type="http://schemas.openxmlformats.org/officeDocument/2006/relationships/hyperlink" Id="rId10"/>
    <Relationship TargetMode="External" Target="https://www.legis.iowa.gov/docs/ico/chapter/455B.199C.pdf" Type="http://schemas.openxmlformats.org/officeDocument/2006/relationships/hyperlink" Id="rId11"/>
    <Relationship TargetMode="External" Target="https://www.legis.iowa.gov/docs/ico/chapter/16.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