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MILITARY SERVICE MEMBER HOME OWNERSHIP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265—27.1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military service member home ownership assistance program is to help eligible members of the armed forces of the United States to purchase qualified homes in Iowa.</w:t>
      </w:r>
    </w:p>
    <w:p>
      <w:pPr>
        <w:spacing w:before="0" w:after="0"/>
        <w:ind w:left="120"/>
        <w:jc w:val="both"/>
      </w:pPr>
      <w:r>
        <w:rPr>
          <w:rFonts w:ascii="Times New Roman" w:hAnsi="Times New Roman"/>
          <w:b/>
          <w:i w:val="false"/>
          <w:color w:val="000000"/>
          <w:sz w:val="22"/>
        </w:rPr>
        <w:t>265—27.2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“Closing agent” </w:t>
      </w:r>
      <w:r>
        <w:rPr>
          <w:rFonts w:ascii="Times New Roman" w:hAnsi="Times New Roman"/>
          <w:b w:val="false"/>
          <w:i w:val="false"/>
          <w:color w:val="000000"/>
          <w:sz w:val="22"/>
        </w:rPr>
        <w:t>means the attorney, real estate firm, or closing company that is closing the qualifying purchase transaction and that prepares the cash sale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service member” </w:t>
      </w:r>
      <w:r>
        <w:rPr>
          <w:rFonts w:ascii="Times New Roman" w:hAnsi="Times New Roman"/>
          <w:b w:val="false"/>
          <w:i w:val="false"/>
          <w:color w:val="000000"/>
          <w:sz w:val="22"/>
        </w:rPr>
        <w:t>means a person purchasing his or her primary residence in the state of Iowa who, at the time of application for a grant under the program, (1) is or was, if discharged under honorable conditions, a member of the national guard, reserve, or regular component of the armed forces of the United States under Title 10 or Title 32 and has served at least 90 days of active duty service, other than training, beginning on or after September 11, 2001, or during the period of the Persian Gulf Conflict, beginning August 2, 1990, and ending April 6, 1991; (2) was honorably discharged due to injuries incurred while on active federal service beginning on or after September 11, 2001, or during the period of the Persian Gulf Conflict, beginning August 2, 1990, and ending April 6, 1991; or (3) is a surviving spouse of a service member who met the eligibility criteria of (1) or (2)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“Facilitating lender” </w:t>
      </w:r>
      <w:r>
        <w:rPr>
          <w:rFonts w:ascii="Times New Roman" w:hAnsi="Times New Roman"/>
          <w:b w:val="false"/>
          <w:i w:val="false"/>
          <w:color w:val="000000"/>
          <w:sz w:val="22"/>
        </w:rPr>
        <w:t xml:space="preserve">means a lender that is not a participating lender but that is approved by the authority to make loans under the military home ownership assistance program pursuant to Iowa Code section </w:t>
      </w:r>
      <w:hyperlink r:id="rId5">
        <w:r>
          <w:rPr>
            <w:rStyle w:val="Hyperlink"/>
            <w:rFonts w:ascii="Times New Roman" w:hAnsi="Times New Roman"/>
            <w:b w:val="false"/>
            <w:i w:val="false"/>
            <w:color w:val="000000"/>
            <w:sz w:val="22"/>
          </w:rPr>
          <w:t>16.54(5)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subrule 27.3(7)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ownership assistance” </w:t>
      </w:r>
      <w:r>
        <w:rPr>
          <w:rFonts w:ascii="Times New Roman" w:hAnsi="Times New Roman"/>
          <w:b w:val="false"/>
          <w:i w:val="false"/>
          <w:color w:val="000000"/>
          <w:sz w:val="22"/>
        </w:rPr>
        <w:t xml:space="preserve">means the one-time assistance of up to $5,000 per eligible service member that may be used toward down payment or closing costs, or both, in the purchase of a qualified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lender” </w:t>
      </w:r>
      <w:r>
        <w:rPr>
          <w:rFonts w:ascii="Times New Roman" w:hAnsi="Times New Roman"/>
          <w:b w:val="false"/>
          <w:i w:val="false"/>
          <w:color w:val="000000"/>
          <w:sz w:val="22"/>
        </w:rPr>
        <w:t xml:space="preserve">means a lender approved for participation in one or more of the authority’s first mortgage financing home buyer programs. The authority maintains a list of participating lenders on its website: </w:t>
      </w:r>
      <w:hyperlink r:id="rId8">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“military home ownership assistance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“MHOA” </w:t>
      </w:r>
      <w:r>
        <w:rPr>
          <w:rFonts w:ascii="Times New Roman" w:hAnsi="Times New Roman"/>
          <w:b w:val="false"/>
          <w:i w:val="false"/>
          <w:color w:val="000000"/>
          <w:sz w:val="22"/>
        </w:rPr>
        <w:t xml:space="preserve">means the military service member home ownership assistance program authorized by Iowa Code section </w:t>
      </w:r>
      <w:hyperlink r:id="rId9">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home” </w:t>
      </w:r>
      <w:r>
        <w:rPr>
          <w:rFonts w:ascii="Times New Roman" w:hAnsi="Times New Roman"/>
          <w:b w:val="false"/>
          <w:i w:val="false"/>
          <w:color w:val="000000"/>
          <w:sz w:val="22"/>
        </w:rPr>
        <w:t>means a home located in the state of Iowa that an eligible service member purchases, occupies, and uses as the service member’s primary residence. The home must fall into one of the following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Single-family residence, including “stick-built” homes, modular homes, or manufactured homes;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Condominium;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Townhome;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property containing two to four residential units, where one unit is to be occupied by the eligible service member as the service member’s primary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mortgage” </w:t>
      </w:r>
      <w:r>
        <w:rPr>
          <w:rFonts w:ascii="Times New Roman" w:hAnsi="Times New Roman"/>
          <w:b w:val="false"/>
          <w:i w:val="false"/>
          <w:color w:val="000000"/>
          <w:sz w:val="22"/>
        </w:rPr>
        <w:t>means a permanent mortgage loan made pursuant to one of the authority’s home buyer mortgage programs unless the lender offers financing that is more financially advantageous for the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“Status documentation” </w:t>
      </w:r>
      <w:r>
        <w:rPr>
          <w:rFonts w:ascii="Times New Roman" w:hAnsi="Times New Roman"/>
          <w:b w:val="false"/>
          <w:i w:val="false"/>
          <w:color w:val="000000"/>
          <w:sz w:val="22"/>
        </w:rPr>
        <w:t>means written documentation verifying that the applicant is an eligible service member. This documentation may include, but is not limited to, a copy of a valid DD Form 214, showing character of service other than dishonorable, or the applicant’s most recent leave and earnings statements representing 90 days of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guaranty certificate” </w:t>
      </w:r>
      <w:r>
        <w:rPr>
          <w:rFonts w:ascii="Times New Roman" w:hAnsi="Times New Roman"/>
          <w:b w:val="false"/>
          <w:i w:val="false"/>
          <w:color w:val="000000"/>
          <w:sz w:val="22"/>
        </w:rPr>
        <w:t xml:space="preserve">means the certificate issued by the Iowa title guaranty division of the authority pursuant to Iowa Code section </w:t>
      </w:r>
      <w:hyperlink r:id="rId10">
        <w:r>
          <w:rPr>
            <w:rStyle w:val="Hyperlink"/>
            <w:rFonts w:ascii="Times New Roman" w:hAnsi="Times New Roman"/>
            <w:b w:val="false"/>
            <w:i w:val="false"/>
            <w:color w:val="000000"/>
            <w:sz w:val="22"/>
          </w:rPr>
          <w:t>16.92</w:t>
        </w:r>
      </w:hyperlink>
      <w:r>
        <w:rPr>
          <w:rFonts w:ascii="Times New Roman" w:hAnsi="Times New Roman"/>
          <w:b w:val="false"/>
          <w:i w:val="false"/>
          <w:color w:val="000000"/>
          <w:sz w:val="22"/>
        </w:rPr>
        <w:t xml:space="preserve"> to ensure marketable title to the lender or the homeowner, or both.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8945B</w:t>
      </w:r>
      <w:r>
        <w:rPr>
          <w:rFonts w:ascii="Times New Roman" w:hAnsi="Times New Roman"/>
          <w:b w:val="false"/>
          <w:i w:val="false"/>
          <w:color w:val="000000"/>
          <w:sz w:val="16"/>
        </w:rPr>
        <w:t>, IAB 7/28/10, effective 7/6/10</w:t>
      </w:r>
      <w:r>
        <w:rPr>
          <w:rFonts w:ascii="Times New Roman" w:hAnsi="Times New Roman"/>
          <w:b w:val="false"/>
          <w:i w:val="false"/>
          <w:color w:val="000000"/>
          <w:sz w:val="16"/>
        </w:rPr>
        <w:t xml:space="preserve">; </w:t>
      </w:r>
      <w:r>
        <w:rPr>
          <w:rFonts w:ascii="Times New Roman" w:hAnsi="Times New Roman"/>
          <w:b/>
          <w:i w:val="false"/>
          <w:color w:val="000000"/>
          <w:sz w:val="16"/>
        </w:rPr>
        <w:t>ARC 9803B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1595C</w:t>
      </w:r>
      <w:r>
        <w:rPr>
          <w:rFonts w:ascii="Times New Roman" w:hAnsi="Times New Roman"/>
          <w:b w:val="false"/>
          <w:i w:val="false"/>
          <w:color w:val="000000"/>
          <w:sz w:val="16"/>
        </w:rPr>
        <w:t>, IAB 9/3/14, effective 8/6/14</w:t>
      </w:r>
      <w:r>
        <w:rPr>
          <w:rFonts w:ascii="Times New Roman" w:hAnsi="Times New Roman"/>
          <w:b w:val="false"/>
          <w:i w:val="false"/>
          <w:color w:val="000000"/>
          <w:sz w:val="16"/>
        </w:rPr>
        <w:t xml:space="preserve">; </w:t>
      </w:r>
      <w:r>
        <w:rPr>
          <w:rFonts w:ascii="Times New Roman" w:hAnsi="Times New Roman"/>
          <w:b/>
          <w:i w:val="false"/>
          <w:color w:val="000000"/>
          <w:sz w:val="16"/>
        </w:rPr>
        <w:t>ARC 1854C</w:t>
      </w:r>
      <w:r>
        <w:rPr>
          <w:rFonts w:ascii="Times New Roman" w:hAnsi="Times New Roman"/>
          <w:b w:val="false"/>
          <w:i w:val="false"/>
          <w:color w:val="000000"/>
          <w:sz w:val="16"/>
        </w:rPr>
        <w:t>, IAB 2/4/15, effective 3/11/15</w:t>
      </w:r>
      <w:r>
        <w:rPr>
          <w:rFonts w:ascii="Times New Roman" w:hAnsi="Times New Roman"/>
          <w:b w:val="false"/>
          <w:i w:val="false"/>
          <w:color w:val="000000"/>
          <w:sz w:val="16"/>
        </w:rPr>
        <w:t xml:space="preserve">; </w:t>
      </w:r>
      <w:r>
        <w:rPr>
          <w:rFonts w:ascii="Times New Roman" w:hAnsi="Times New Roman"/>
          <w:b/>
          <w:i w:val="false"/>
          <w:color w:val="000000"/>
          <w:sz w:val="16"/>
        </w:rPr>
        <w:t>ARC 3424C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 xml:space="preserve">; </w:t>
      </w:r>
      <w:r>
        <w:rPr>
          <w:rFonts w:ascii="Times New Roman" w:hAnsi="Times New Roman"/>
          <w:b/>
          <w:i w:val="false"/>
          <w:color w:val="000000"/>
          <w:sz w:val="16"/>
        </w:rPr>
        <w:t>ARC 4265C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and 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 xml:space="preserve">Whether the purchase of a qualified home is by mortgage financing or cash, prior approval of the assistance by the authority is required. Approval of the request will include supporting document review by the authority and a determination of the service member’s eligibility by the Iowa department of veterans affairs.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Financed home purchases.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the purchase of a qualified home that is to be financed, the eligible service member must apply for assistance under the program through a participating or facilitating lender. If the service member qualifies for one of the authority’s home buyer mortgage programs, the mortgage financing provided shall be a qualified mortgage. Service members who are not eligible for one of the authority’s home buyer mortgage programs and are not purchasing on a cash basis may use any permanent financing available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apply for the military assistance, the eligible service member shall provide the participating or facilitating lender with the status documentation and all necessary program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lender has received all of the information required by this subrule, the lender shall transmit copies of the necessary documentation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color w:val="000000"/>
          <w:sz w:val="22"/>
        </w:rPr>
        <w:t xml:space="preserve">Cash home purchases. </w:t>
      </w:r>
      <w:r>
        <w:rPr>
          <w:rFonts w:ascii="Times New Roman" w:hAnsi="Times New Roman"/>
          <w:b w:val="false"/>
          <w:i w:val="false"/>
          <w:color w:val="000000"/>
          <w:sz w:val="22"/>
        </w:rPr>
        <w:t>In the case of a cash purchase of a qualified home, the eligible service member shall provide directly to the authority status documentation, the purchase agreement with any addenda or attachments for a primary residence, and a title guaranty commitment.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color w:val="000000"/>
          <w:sz w:val="22"/>
        </w:rPr>
        <w:t xml:space="preserve">Referral of status documentation to Iowa department of veterans affairs. </w:t>
      </w:r>
      <w:r>
        <w:rPr>
          <w:rFonts w:ascii="Times New Roman" w:hAnsi="Times New Roman"/>
          <w:b w:val="false"/>
          <w:i w:val="false"/>
          <w:color w:val="000000"/>
          <w:sz w:val="22"/>
        </w:rPr>
        <w:t>The authority shall submit the status documentation, upon receipt, to the Iowa department of veterans affairs for verification that the applicant is an eligible service member. The Iowa department of veterans affairs shall be the final authority as to whether an applicant is an eligible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27.3(5)</w:t>
      </w:r>
      <w:r>
        <w:rPr>
          <w:rFonts w:ascii="Times New Roman" w:hAnsi="Times New Roman"/>
          <w:b w:val="false"/>
          <w:i w:val="false"/>
          <w:color w:val="000000"/>
          <w:sz w:val="22"/>
        </w:rPr>
        <w:t> </w:t>
      </w:r>
      <w:r>
        <w:rPr>
          <w:rFonts w:ascii="Times New Roman" w:hAnsi="Times New Roman"/>
          <w:b w:val="false"/>
          <w:i/>
          <w:color w:val="000000"/>
          <w:sz w:val="22"/>
        </w:rPr>
        <w:t xml:space="preserve">Notice of MHOA approval. </w:t>
      </w:r>
      <w:r>
        <w:rPr>
          <w:rFonts w:ascii="Times New Roman" w:hAnsi="Times New Roman"/>
          <w:b w:val="false"/>
          <w:i w:val="false"/>
          <w:color w:val="000000"/>
          <w:sz w:val="22"/>
        </w:rPr>
        <w:t>Upon confirmation of the applicant’s eligibility by the Iowa department of veterans affairs and the authority, the authority shall notify the lender, or eligible service member in the case of a cash purchase, that the MHOA application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27.3(6)</w:t>
      </w:r>
      <w:r>
        <w:rPr>
          <w:rFonts w:ascii="Times New Roman" w:hAnsi="Times New Roman"/>
          <w:b w:val="false"/>
          <w:i w:val="false"/>
          <w:color w:val="000000"/>
          <w:sz w:val="22"/>
        </w:rPr>
        <w:t> </w:t>
      </w:r>
      <w:r>
        <w:rPr>
          <w:rFonts w:ascii="Times New Roman" w:hAnsi="Times New Roman"/>
          <w:b w:val="false"/>
          <w:i/>
          <w:color w:val="000000"/>
          <w:sz w:val="22"/>
        </w:rPr>
        <w:t xml:space="preserve">Gaps in funding. </w:t>
      </w:r>
      <w:r>
        <w:rPr>
          <w:rFonts w:ascii="Times New Roman" w:hAnsi="Times New Roman"/>
          <w:b w:val="false"/>
          <w:i w:val="false"/>
          <w:color w:val="000000"/>
          <w:sz w:val="22"/>
        </w:rPr>
        <w:t>In cases where the military assistance funds are unavailable during the home purchase process, MHOA requests for approval may be placed on a waiting list. When funds are again available and the home purchase closed without the benefit of military assistance funds being applied toward closing costs or down payment, the proceeds of the assistance shall be paid (1) directly to the participating lender or servicing lender to be applied toward the qualified mortgage loan’s principal balance, or (2) if the qualified home was purchased pursuant to a cash purchase transaction, directly to the eligible service member. The authority will notify the applicant that the assistance will be applied to the principal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27.3(7)</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for facilitating lender status.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16.54(5)</w:t>
        </w:r>
      </w:hyperlink>
      <w:r>
        <w:rPr>
          <w:rFonts w:ascii="Times New Roman" w:hAnsi="Times New Roman"/>
          <w:b w:val="false"/>
          <w:i w:val="false"/>
          <w:color w:val="000000"/>
          <w:sz w:val="22"/>
        </w:rPr>
        <w:t xml:space="preserve">, an Iowa-regulated or federally regulated lender with a physical location in the state of Iowa may submit an application to the authority for approval, even if such lender does not participate in the authority’s home ownership programs for home buyers. The approval to be a facilitating lender shall be valid for one year, and lenders annually will need to submit an application, including the application fee. The application fee may not be charged in part or in full to a service member or to a property seller.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8945B</w:t>
      </w:r>
      <w:r>
        <w:rPr>
          <w:rFonts w:ascii="Times New Roman" w:hAnsi="Times New Roman"/>
          <w:b w:val="false"/>
          <w:i w:val="false"/>
          <w:color w:val="000000"/>
          <w:sz w:val="16"/>
        </w:rPr>
        <w:t>, IAB 7/28/10, effective 7/6/10</w:t>
      </w:r>
      <w:r>
        <w:rPr>
          <w:rFonts w:ascii="Times New Roman" w:hAnsi="Times New Roman"/>
          <w:b w:val="false"/>
          <w:i w:val="false"/>
          <w:color w:val="000000"/>
          <w:sz w:val="16"/>
        </w:rPr>
        <w:t xml:space="preserve">; </w:t>
      </w:r>
      <w:r>
        <w:rPr>
          <w:rFonts w:ascii="Times New Roman" w:hAnsi="Times New Roman"/>
          <w:b/>
          <w:i w:val="false"/>
          <w:color w:val="000000"/>
          <w:sz w:val="16"/>
        </w:rPr>
        <w:t>ARC 9803B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0827C</w:t>
      </w:r>
      <w:r>
        <w:rPr>
          <w:rFonts w:ascii="Times New Roman" w:hAnsi="Times New Roman"/>
          <w:b w:val="false"/>
          <w:i w:val="false"/>
          <w:color w:val="000000"/>
          <w:sz w:val="16"/>
        </w:rPr>
        <w:t>, IAB 7/10/13, effective 8/14/13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1142C</w:t>
      </w:r>
      <w:r>
        <w:rPr>
          <w:rFonts w:ascii="Times New Roman" w:hAnsi="Times New Roman"/>
          <w:b w:val="false"/>
          <w:i w:val="false"/>
          <w:color w:val="000000"/>
          <w:sz w:val="16"/>
        </w:rPr>
        <w:t>, IAB 10/30/13, effective 10/15/13</w:t>
      </w:r>
      <w:r>
        <w:rPr>
          <w:rFonts w:ascii="Times New Roman" w:hAnsi="Times New Roman"/>
          <w:b w:val="false"/>
          <w:i w:val="false"/>
          <w:color w:val="000000"/>
          <w:sz w:val="16"/>
        </w:rPr>
        <w:t xml:space="preserve">; </w:t>
      </w:r>
      <w:r>
        <w:rPr>
          <w:rFonts w:ascii="Times New Roman" w:hAnsi="Times New Roman"/>
          <w:b/>
          <w:i w:val="false"/>
          <w:color w:val="000000"/>
          <w:sz w:val="16"/>
        </w:rPr>
        <w:t>ARC 1253C</w:t>
      </w:r>
      <w:r>
        <w:rPr>
          <w:rFonts w:ascii="Times New Roman" w:hAnsi="Times New Roman"/>
          <w:b w:val="false"/>
          <w:i w:val="false"/>
          <w:color w:val="000000"/>
          <w:sz w:val="16"/>
        </w:rPr>
        <w:t>, IAB 12/25/13, effective 1/29/14</w:t>
      </w:r>
      <w:r>
        <w:rPr>
          <w:rFonts w:ascii="Times New Roman" w:hAnsi="Times New Roman"/>
          <w:b w:val="false"/>
          <w:i w:val="false"/>
          <w:color w:val="000000"/>
          <w:sz w:val="16"/>
        </w:rPr>
        <w:t xml:space="preserve">; </w:t>
      </w:r>
      <w:r>
        <w:rPr>
          <w:rFonts w:ascii="Times New Roman" w:hAnsi="Times New Roman"/>
          <w:b/>
          <w:i w:val="false"/>
          <w:color w:val="000000"/>
          <w:sz w:val="16"/>
        </w:rPr>
        <w:t>ARC 1595C</w:t>
      </w:r>
      <w:r>
        <w:rPr>
          <w:rFonts w:ascii="Times New Roman" w:hAnsi="Times New Roman"/>
          <w:b w:val="false"/>
          <w:i w:val="false"/>
          <w:color w:val="000000"/>
          <w:sz w:val="16"/>
        </w:rPr>
        <w:t>, IAB 9/3/14, effective 8/6/14</w:t>
      </w:r>
      <w:r>
        <w:rPr>
          <w:rFonts w:ascii="Times New Roman" w:hAnsi="Times New Roman"/>
          <w:b w:val="false"/>
          <w:i w:val="false"/>
          <w:color w:val="000000"/>
          <w:sz w:val="16"/>
        </w:rPr>
        <w:t xml:space="preserve">; </w:t>
      </w:r>
      <w:r>
        <w:rPr>
          <w:rFonts w:ascii="Times New Roman" w:hAnsi="Times New Roman"/>
          <w:b/>
          <w:i w:val="false"/>
          <w:color w:val="000000"/>
          <w:sz w:val="16"/>
        </w:rPr>
        <w:t>ARC 1854C</w:t>
      </w:r>
      <w:r>
        <w:rPr>
          <w:rFonts w:ascii="Times New Roman" w:hAnsi="Times New Roman"/>
          <w:b w:val="false"/>
          <w:i w:val="false"/>
          <w:color w:val="000000"/>
          <w:sz w:val="16"/>
        </w:rPr>
        <w:t>, IAB 2/4/15, effective 3/11/15</w:t>
      </w:r>
      <w:r>
        <w:rPr>
          <w:rFonts w:ascii="Times New Roman" w:hAnsi="Times New Roman"/>
          <w:b w:val="false"/>
          <w:i w:val="false"/>
          <w:color w:val="000000"/>
          <w:sz w:val="16"/>
        </w:rPr>
        <w:t xml:space="preserve">; </w:t>
      </w:r>
      <w:r>
        <w:rPr>
          <w:rFonts w:ascii="Times New Roman" w:hAnsi="Times New Roman"/>
          <w:b/>
          <w:i w:val="false"/>
          <w:color w:val="000000"/>
          <w:sz w:val="16"/>
        </w:rPr>
        <w:t>ARC 3424C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265—27.4</w:t>
      </w:r>
      <w:r>
        <w:rPr>
          <w:rFonts w:ascii="Times New Roman" w:hAnsi="Times New Roman"/>
          <w:b/>
          <w:i w:val="false"/>
          <w:color w:val="000000"/>
          <w:sz w:val="22"/>
        </w:rPr>
        <w:t xml:space="preserve">(16) </w:t>
      </w:r>
      <w:r>
        <w:rPr>
          <w:rFonts w:ascii="Times New Roman" w:hAnsi="Times New Roman"/>
          <w:b/>
          <w:i w:val="false"/>
          <w:color w:val="000000"/>
          <w:sz w:val="22"/>
        </w:rPr>
        <w:t xml:space="preserve">MHOA award. </w:t>
      </w:r>
      <w:r>
        <w:rPr>
          <w:rFonts w:ascii="Times New Roman" w:hAnsi="Times New Roman"/>
          <w:b w:val="false"/>
          <w:i w:val="false"/>
          <w:color w:val="000000"/>
          <w:sz w:val="22"/>
        </w:rPr>
        <w:t>Assistance awarded hereunder shall be up to $5,000 toward the purchase of a qualified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color w:val="000000"/>
          <w:sz w:val="22"/>
        </w:rPr>
        <w:t xml:space="preserve">MHOA reimbursement. </w:t>
      </w:r>
      <w:r>
        <w:rPr>
          <w:rFonts w:ascii="Times New Roman" w:hAnsi="Times New Roman"/>
          <w:b w:val="false"/>
          <w:i w:val="false"/>
          <w:color w:val="000000"/>
          <w:sz w:val="22"/>
        </w:rPr>
        <w:t>The lender shall advance funds at closing in an amount equal to the assistance on behalf of the eligible service member. After closing, the lender shall submit to the authority copies of the following documents: an executed settlement statement, the deed conveying title, a title guaranty commitment, and the promissory note and mortgage. After closing, for cash home purchasers, the eligible service member shall submit to the authority a copy of the executed settlement statement, the deed conveying title and the executed title guaranty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color w:val="000000"/>
          <w:sz w:val="22"/>
        </w:rPr>
        <w:t xml:space="preserve">MHOA assistance restrictions and limitations. </w:t>
      </w:r>
      <w:r>
        <w:rPr>
          <w:rFonts w:ascii="Times New Roman" w:hAnsi="Times New Roman"/>
          <w:b w:val="false"/>
          <w:i w:val="false"/>
          <w:color w:val="000000"/>
          <w:sz w:val="22"/>
        </w:rPr>
        <w:t>All assistance under the program is subject to funding availability. Assistance will be awarded in the order in which all required documentation is received and approved by the authority. Assistance awarded pursuant to the program is personal to its recipient and may not be assigned. Only one award of assistance shall be awarded per home purchase. If both homeowners are eligible service members, only one may use the MHOA per home purchase. If another home is purchased at a later date, the other eligible service member may use the MHOA on the second home if the program exists and funds are available. An eligible service member shall receive only one award under the program. While program funds are available, the award shall be valid for 60 days in the case of purchases of existing or completed property and 120 days in the case of purchases of property being constructed or renovated. A reasonable extension may be granted with evidence of a purchase loan in progress which has been delayed due to circumstances beyond the service member’s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8945B</w:t>
      </w:r>
      <w:r>
        <w:rPr>
          <w:rFonts w:ascii="Times New Roman" w:hAnsi="Times New Roman"/>
          <w:b w:val="false"/>
          <w:i w:val="false"/>
          <w:color w:val="000000"/>
          <w:sz w:val="16"/>
        </w:rPr>
        <w:t>, IAB 7/28/10, effective 7/6/10</w:t>
      </w:r>
      <w:r>
        <w:rPr>
          <w:rFonts w:ascii="Times New Roman" w:hAnsi="Times New Roman"/>
          <w:b w:val="false"/>
          <w:i w:val="false"/>
          <w:color w:val="000000"/>
          <w:sz w:val="16"/>
        </w:rPr>
        <w:t xml:space="preserve">; </w:t>
      </w:r>
      <w:r>
        <w:rPr>
          <w:rFonts w:ascii="Times New Roman" w:hAnsi="Times New Roman"/>
          <w:b/>
          <w:i w:val="false"/>
          <w:color w:val="000000"/>
          <w:sz w:val="16"/>
        </w:rPr>
        <w:t>ARC 9803B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3424C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7/14/06—published 8/2/06, effective 7/14/06]</w:t>
      </w:r>
    </w:p>
    <w:p>
      <w:pPr>
        <w:spacing w:before="0" w:after="0"/>
        <w:ind w:left="120"/>
        <w:jc w:val="center"/>
      </w:pPr>
      <w:r>
        <w:rPr>
          <w:rFonts w:ascii="Times New Roman" w:hAnsi="Times New Roman"/>
          <w:b w:val="false"/>
          <w:i w:val="false"/>
          <w:color w:val="000000"/>
          <w:sz w:val="21"/>
        </w:rPr>
        <w:t>[Filed emergency 4/3/07—published 4/25/07, effective 4/3/07]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8945B, IAB 7/28/10, effective 7/6/10]</w:t>
      </w:r>
    </w:p>
    <w:p>
      <w:pPr>
        <w:spacing w:before="0" w:after="0"/>
        <w:ind w:left="120"/>
        <w:jc w:val="center"/>
      </w:pPr>
      <w:r>
        <w:rPr>
          <w:rFonts w:ascii="Times New Roman" w:hAnsi="Times New Roman"/>
          <w:b w:val="false"/>
          <w:i w:val="false"/>
          <w:color w:val="000000"/>
          <w:sz w:val="21"/>
        </w:rPr>
        <w:t>[Filed ARC 9803B</w:t>
      </w:r>
      <w:r>
        <w:rPr>
          <w:rFonts w:ascii="Times New Roman" w:hAnsi="Times New Roman"/>
          <w:b w:val="false"/>
          <w:i w:val="false"/>
          <w:color w:val="000000"/>
          <w:sz w:val="21"/>
        </w:rPr>
        <w:t xml:space="preserve"> (Notice ARC 9590B, IAB 6/29/11)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0827C</w:t>
      </w:r>
      <w:r>
        <w:rPr>
          <w:rFonts w:ascii="Times New Roman" w:hAnsi="Times New Roman"/>
          <w:b w:val="false"/>
          <w:i w:val="false"/>
          <w:color w:val="000000"/>
          <w:sz w:val="21"/>
        </w:rPr>
        <w:t xml:space="preserve"> (Notice ARC 0683C, IAB 4/3/13)</w:t>
      </w:r>
      <w:r>
        <w:rPr>
          <w:rFonts w:ascii="Times New Roman" w:hAnsi="Times New Roman"/>
          <w:b w:val="false"/>
          <w:i w:val="false"/>
          <w:color w:val="000000"/>
          <w:sz w:val="21"/>
        </w:rPr>
        <w:t>, IAB 7/10/13, effective 8/14/13]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1142C, IAB 10/30/13, effective 10/15/13]</w:t>
      </w:r>
    </w:p>
    <w:p>
      <w:pPr>
        <w:spacing w:before="0" w:after="0"/>
        <w:ind w:left="120"/>
        <w:jc w:val="center"/>
      </w:pPr>
      <w:r>
        <w:rPr>
          <w:rFonts w:ascii="Times New Roman" w:hAnsi="Times New Roman"/>
          <w:b w:val="false"/>
          <w:i w:val="false"/>
          <w:color w:val="000000"/>
          <w:sz w:val="21"/>
        </w:rPr>
        <w:t>[Filed ARC 1253C</w:t>
      </w:r>
      <w:r>
        <w:rPr>
          <w:rFonts w:ascii="Times New Roman" w:hAnsi="Times New Roman"/>
          <w:b w:val="false"/>
          <w:i w:val="false"/>
          <w:color w:val="000000"/>
          <w:sz w:val="21"/>
        </w:rPr>
        <w:t xml:space="preserve"> (Notice ARC 1141C, IAB 10/30/13)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Emergency ARC 1595C, IAB 9/3/14, effective 8/6/14]</w:t>
      </w:r>
    </w:p>
    <w:p>
      <w:pPr>
        <w:spacing w:before="0" w:after="0"/>
        <w:ind w:left="120"/>
        <w:jc w:val="center"/>
      </w:pPr>
      <w:r>
        <w:rPr>
          <w:rFonts w:ascii="Times New Roman" w:hAnsi="Times New Roman"/>
          <w:b w:val="false"/>
          <w:i w:val="false"/>
          <w:color w:val="000000"/>
          <w:sz w:val="21"/>
        </w:rPr>
        <w:t>[Filed ARC 1854C</w:t>
      </w:r>
      <w:r>
        <w:rPr>
          <w:rFonts w:ascii="Times New Roman" w:hAnsi="Times New Roman"/>
          <w:b w:val="false"/>
          <w:i w:val="false"/>
          <w:color w:val="000000"/>
          <w:sz w:val="21"/>
        </w:rPr>
        <w:t xml:space="preserve"> (Notice ARC 1594C, IAB 9/3/14)</w:t>
      </w:r>
      <w:r>
        <w:rPr>
          <w:rFonts w:ascii="Times New Roman" w:hAnsi="Times New Roman"/>
          <w:b w:val="false"/>
          <w:i w:val="false"/>
          <w:color w:val="000000"/>
          <w:sz w:val="21"/>
        </w:rPr>
        <w:t>, IAB 2/4/15, effective 3/11/15]</w:t>
      </w:r>
    </w:p>
    <w:p>
      <w:pPr>
        <w:spacing w:before="0" w:after="0"/>
        <w:ind w:left="120"/>
        <w:jc w:val="center"/>
      </w:pPr>
      <w:r>
        <w:rPr>
          <w:rFonts w:ascii="Times New Roman" w:hAnsi="Times New Roman"/>
          <w:b w:val="false"/>
          <w:i w:val="false"/>
          <w:color w:val="000000"/>
          <w:sz w:val="21"/>
        </w:rPr>
        <w:t>[Filed ARC 3424C</w:t>
      </w:r>
      <w:r>
        <w:rPr>
          <w:rFonts w:ascii="Times New Roman" w:hAnsi="Times New Roman"/>
          <w:b w:val="false"/>
          <w:i w:val="false"/>
          <w:color w:val="000000"/>
          <w:sz w:val="21"/>
        </w:rPr>
        <w:t xml:space="preserve"> (Notice ARC 3273C,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4265C</w:t>
      </w:r>
      <w:r>
        <w:rPr>
          <w:rFonts w:ascii="Times New Roman" w:hAnsi="Times New Roman"/>
          <w:b w:val="false"/>
          <w:i w:val="false"/>
          <w:color w:val="000000"/>
          <w:sz w:val="21"/>
        </w:rPr>
        <w:t xml:space="preserve"> (Notice ARC 4028C, IAB 9/26/18)</w:t>
      </w:r>
      <w:r>
        <w:rPr>
          <w:rFonts w:ascii="Times New Roman" w:hAnsi="Times New Roman"/>
          <w:b w:val="false"/>
          <w:i w:val="false"/>
          <w:color w:val="000000"/>
          <w:sz w:val="21"/>
        </w:rPr>
        <w:t>, IAB 1/30/19, effective 3/6/19]</w:t>
      </w:r>
    </w:p>
    <w:p>
      <w:pPr>
        <w:pBdr>
          <w:bottom w:space="2"/>
        </w:pBdr>
        <w:spacing w:before="0" w:after="0"/>
        <w:ind w:left="120"/>
        <w:jc w:val="both"/>
      </w:pPr>
      <w:r>
        <w:rPr>
          <w:rFonts w:ascii="Times New Roman" w:hAnsi="Times New Roman"/>
          <w:b w:val="false"/>
          <w:i w:val="false"/>
          <w:color w:val="000000"/>
          <w:sz w:val="22"/>
        </w:rPr>
        <w:t>August 14, 2013, effective date of ARC 0827C [27.3(2)] delayed 70 days by the Administrative Rules Review Committee at its meeting held August 6,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4.pdf" Type="http://schemas.openxmlformats.org/officeDocument/2006/relationships/hyperlink" Id="rId5"/>
    <Relationship TargetMode="External" Target="https://www.legis.iowa.gov/docs/iac/rule/265.27.3.pdf" Type="http://schemas.openxmlformats.org/officeDocument/2006/relationships/hyperlink" Id="rId6"/>
    <Relationship TargetMode="External" Target="https://www.legis.iowa.gov/docs/ico/chapter/435.1.pdf" Type="http://schemas.openxmlformats.org/officeDocument/2006/relationships/hyperlink" Id="rId7"/>
    <Relationship TargetMode="External" Target="www.iowafinanceauthority.gov" Type="http://schemas.openxmlformats.org/officeDocument/2006/relationships/hyperlink" Id="rId8"/>
    <Relationship TargetMode="External" Target="https://www.legis.iowa.gov/docs/ico/chapter/16.54.pdf" Type="http://schemas.openxmlformats.org/officeDocument/2006/relationships/hyperlink" Id="rId9"/>
    <Relationship TargetMode="External" Target="https://www.legis.iowa.gov/docs/ico/chapter/16.92.pdf" Type="http://schemas.openxmlformats.org/officeDocument/2006/relationships/hyperlink" Id="rId10"/>
    <Relationship TargetMode="External" Target="https://www.legis.iowa.gov/docs/ico/chapter/16.54.pdf" Type="http://schemas.openxmlformats.org/officeDocument/2006/relationships/hyperlink" Id="rId11"/>
    <Relationship TargetMode="External" Target="https://www.legis.iowa.gov/docs/ico/chapter/16.5.pdf" Type="http://schemas.openxmlformats.org/officeDocument/2006/relationships/hyperlink" Id="rId12"/>
    <Relationship TargetMode="External" Target="https://www.legis.iowa.gov/docs/ico/chapter/16.54.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