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WATER POLLUTION CONTROL WORKS AND</w:t>
      </w:r>
      <w:r>
        <w:br/>
      </w:r>
      <w:r>
        <w:rPr>
          <w:rFonts w:ascii="Times New Roman" w:hAnsi="Times New Roman"/>
          <w:b w:val="false"/>
          <w:i w:val="false"/>
          <w:color w:val="000000"/>
          <w:sz w:val="21"/>
        </w:rPr>
        <w:t>DRINKING WATER FACILITIES FINANCING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265—26.1</w:t>
      </w:r>
      <w:r>
        <w:rPr>
          <w:rFonts w:ascii="Times New Roman" w:hAnsi="Times New Roman"/>
          <w:b/>
          <w:i w:val="false"/>
          <w:color w:val="000000"/>
          <w:sz w:val="22"/>
        </w:rPr>
        <w:t xml:space="preserve">(16) </w:t>
      </w:r>
      <w:r>
        <w:rPr>
          <w:rFonts w:ascii="Times New Roman" w:hAnsi="Times New Roman"/>
          <w:b/>
          <w:i w:val="false"/>
          <w:color w:val="000000"/>
          <w:sz w:val="22"/>
        </w:rPr>
        <w:t xml:space="preserve">Statutory authority. </w:t>
      </w:r>
      <w:r>
        <w:rPr>
          <w:rFonts w:ascii="Times New Roman" w:hAnsi="Times New Roman"/>
          <w:b w:val="false"/>
          <w:i w:val="false"/>
          <w:color w:val="000000"/>
          <w:sz w:val="22"/>
        </w:rPr>
        <w:t xml:space="preserve">The authority to provide loans to eligible applicants to assist in financing drinking water and wastewater treatment facilities and water pollution control projects is provided by Iowa Code sections </w:t>
      </w:r>
      <w:hyperlink r:id="rId5">
        <w:r>
          <w:rPr>
            <w:rStyle w:val="Hyperlink"/>
            <w:rFonts w:ascii="Times New Roman" w:hAnsi="Times New Roman"/>
            <w:b w:val="false"/>
            <w:i w:val="false"/>
            <w:color w:val="000000"/>
            <w:sz w:val="22"/>
          </w:rPr>
          <w:t>16.131 through 16.133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265—26.2</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finance authority provides financing to carry out the functions of the state revolving fund (SRF) loan programs. Under an agreement with the United States Environmental Protection Agency, the Iowa SRF is administered by the Iowa department of natural resources in partnership with the Iowa finance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8457B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265—26.3</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“IFA”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Water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“CWA” </w:t>
      </w:r>
      <w:r>
        <w:rPr>
          <w:rFonts w:ascii="Times New Roman" w:hAnsi="Times New Roman"/>
          <w:b w:val="false"/>
          <w:i w:val="false"/>
          <w:color w:val="000000"/>
          <w:sz w:val="22"/>
        </w:rPr>
        <w:t>means the federal Water Pollution Control Act of 1972, as amended by the Water Quality Act of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environmental protection commission of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ownership” </w:t>
      </w:r>
      <w:r>
        <w:rPr>
          <w:rFonts w:ascii="Times New Roman" w:hAnsi="Times New Roman"/>
          <w:b w:val="false"/>
          <w:i w:val="false"/>
          <w:color w:val="000000"/>
          <w:sz w:val="22"/>
        </w:rPr>
        <w:t>means the ownership of an animal feeding operation as a sole proprietor, or a majority ownership interest held by a person, in each of two or more animal feeding operations as a joint tenant, tenant in common, shareholder, partner, member, beneficiary, or other equity interest holder. The majority ownership interest is a common ownership interest when it is held directly, indirectly through a spouse or dependent child,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“DWSRF” </w:t>
      </w:r>
      <w:r>
        <w:rPr>
          <w:rFonts w:ascii="Times New Roman" w:hAnsi="Times New Roman"/>
          <w:b w:val="false"/>
          <w:i w:val="false"/>
          <w:color w:val="000000"/>
          <w:sz w:val="22"/>
        </w:rPr>
        <w:t>means the drinking water state revolving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 xml:space="preserve">means all costs related to the completion of a project as defined in the CWA and SDWA and </w:t>
      </w:r>
      <w:hyperlink r:id="rId6">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“Intended use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“IUP” </w:t>
      </w:r>
      <w:r>
        <w:rPr>
          <w:rFonts w:ascii="Times New Roman" w:hAnsi="Times New Roman"/>
          <w:b w:val="false"/>
          <w:i w:val="false"/>
          <w:color w:val="000000"/>
          <w:sz w:val="22"/>
        </w:rPr>
        <w:t>means the program document identifying the intended uses of funds available for loans pursuant to the WPCSRF and the DWSRF.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“Nonpoint source” </w:t>
      </w:r>
      <w:r>
        <w:rPr>
          <w:rFonts w:ascii="Times New Roman" w:hAnsi="Times New Roman"/>
          <w:b w:val="false"/>
          <w:i w:val="false"/>
          <w:color w:val="000000"/>
          <w:sz w:val="22"/>
        </w:rPr>
        <w:t>means any project described in Section 319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receiving funds from the 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Drinking Water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“SDWA” </w:t>
      </w:r>
      <w:r>
        <w:rPr>
          <w:rFonts w:ascii="Times New Roman" w:hAnsi="Times New Roman"/>
          <w:b w:val="false"/>
          <w:i w:val="false"/>
          <w:color w:val="000000"/>
          <w:sz w:val="22"/>
        </w:rPr>
        <w:t>means Title XIV of the federal Public Health Service Act, commonly known as the “Safe Drinking Water Act,” as amended by the Safe Drinking Water Amendments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“SRF” </w:t>
      </w:r>
      <w:r>
        <w:rPr>
          <w:rFonts w:ascii="Times New Roman" w:hAnsi="Times New Roman"/>
          <w:b w:val="false"/>
          <w:i w:val="false"/>
          <w:color w:val="000000"/>
          <w:sz w:val="22"/>
        </w:rPr>
        <w:t>means the state revolving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“WPCSRF” </w:t>
      </w:r>
      <w:r>
        <w:rPr>
          <w:rFonts w:ascii="Times New Roman" w:hAnsi="Times New Roman"/>
          <w:b w:val="false"/>
          <w:i w:val="false"/>
          <w:color w:val="000000"/>
          <w:sz w:val="22"/>
        </w:rPr>
        <w:t>means the water pollution control state revolving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8457B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265—26.4</w:t>
      </w:r>
      <w:r>
        <w:rPr>
          <w:rFonts w:ascii="Times New Roman" w:hAnsi="Times New Roman"/>
          <w:b/>
          <w:i w:val="false"/>
          <w:color w:val="000000"/>
          <w:sz w:val="22"/>
        </w:rPr>
        <w:t xml:space="preserve">(16) </w:t>
      </w:r>
      <w:r>
        <w:rPr>
          <w:rFonts w:ascii="Times New Roman" w:hAnsi="Times New Roman"/>
          <w:b/>
          <w:i w:val="false"/>
          <w:color w:val="000000"/>
          <w:sz w:val="22"/>
        </w:rPr>
        <w:t xml:space="preserve">Project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Intended use plans/state project priority lists. </w:t>
      </w:r>
      <w:r>
        <w:rPr>
          <w:rFonts w:ascii="Times New Roman" w:hAnsi="Times New Roman"/>
          <w:b w:val="false"/>
          <w:i w:val="false"/>
          <w:color w:val="000000"/>
          <w:sz w:val="22"/>
        </w:rPr>
        <w:t xml:space="preserve">The state project priority lists shall include projects eligible for SRF loans as provided in </w:t>
      </w:r>
      <w:hyperlink r:id="rId8">
        <w:r>
          <w:rPr>
            <w:rStyle w:val="Hyperlink"/>
            <w:rFonts w:ascii="Times New Roman" w:hAnsi="Times New Roman"/>
            <w:b w:val="false"/>
            <w:i w:val="false"/>
            <w:color w:val="000000"/>
            <w:sz w:val="22"/>
          </w:rPr>
          <w:t>567—Chapters 44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 The authority will consider the following when determining whether to provide a loan to an eligible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financial capability to repay the loan and to provide operation and maintenance, replacement reserves, and, if required, debt service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statement of willingness to accept all loan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priority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technical review and approval of the project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Phased or segmented projects. </w:t>
      </w:r>
      <w:r>
        <w:rPr>
          <w:rFonts w:ascii="Times New Roman" w:hAnsi="Times New Roman"/>
          <w:b w:val="false"/>
          <w:i w:val="false"/>
          <w:color w:val="000000"/>
          <w:sz w:val="22"/>
        </w:rPr>
        <w:t>Loan funds for future portions of phased or segmented projects cannot be ensured, although subsequent segments of a project which has been awarded financial assistance will receive priority over other new projects. Loans made for separate phases or segments of a project will be administered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Loan adjustments. </w:t>
      </w:r>
      <w:r>
        <w:rPr>
          <w:rFonts w:ascii="Times New Roman" w:hAnsi="Times New Roman"/>
          <w:b w:val="false"/>
          <w:i w:val="false"/>
          <w:color w:val="000000"/>
          <w:sz w:val="22"/>
        </w:rPr>
        <w:t>Loan amounts may be adjusted to reflect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color w:val="000000"/>
          <w:sz w:val="22"/>
        </w:rPr>
        <w:t xml:space="preserve">Recipient record keeping. </w:t>
      </w:r>
      <w:r>
        <w:rPr>
          <w:rFonts w:ascii="Times New Roman" w:hAnsi="Times New Roman"/>
          <w:b w:val="false"/>
          <w:i w:val="false"/>
          <w:color w:val="000000"/>
          <w:sz w:val="22"/>
        </w:rPr>
        <w:t>The recipient shall maintain records that document all costs associated with the project. Moneys from the SRF and those contributed by the recipient shall be accounted for separately. Accounting procedures shall conform to generally accepted government accounting standards. The recipient shall agree to provide access to these records to the department, the authority, the state auditor, the state or EPA, and the Office of the Inspector General at the EPA. The recipient shall retain such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recipient shall agree to provide the department and the department’s agent access to the project site at all times to verify that the loan funds are being used for the intended purpose and that the construction work meets all applicable state and federal requirements. Recipients shall also agree to provide the department periodic access to the project site for the duration of the loan to ensure that the project is being operated and maintained 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w:t>
      </w:r>
      <w:r>
        <w:rPr>
          <w:rFonts w:ascii="Times New Roman" w:hAnsi="Times New Roman"/>
          <w:b w:val="false"/>
          <w:i w:val="false"/>
          <w:color w:val="000000"/>
          <w:sz w:val="22"/>
        </w:rPr>
        <w:t> </w:t>
      </w:r>
      <w:r>
        <w:rPr>
          <w:rFonts w:ascii="Times New Roman" w:hAnsi="Times New Roman"/>
          <w:b w:val="false"/>
          <w:i/>
          <w:color w:val="000000"/>
          <w:sz w:val="22"/>
        </w:rPr>
        <w:t xml:space="preserve">Cross-cutting laws. </w:t>
      </w:r>
      <w:r>
        <w:rPr>
          <w:rFonts w:ascii="Times New Roman" w:hAnsi="Times New Roman"/>
          <w:b w:val="false"/>
          <w:i w:val="false"/>
          <w:color w:val="000000"/>
          <w:sz w:val="22"/>
        </w:rPr>
        <w:t>Other federal and state statutes and programs may affect an SRF project. Loan agreements will include an assurance that a recipient will comply with all applicable federal and state requirements.</w:t>
      </w:r>
    </w:p>
    <w:p>
      <w:pPr>
        <w:spacing w:before="0" w:after="0"/>
        <w:ind w:left="120"/>
        <w:jc w:val="both"/>
      </w:pPr>
      <w:r>
        <w:rPr>
          <w:rFonts w:ascii="Times New Roman" w:hAnsi="Times New Roman"/>
          <w:b/>
          <w:i w:val="false"/>
          <w:color w:val="000000"/>
          <w:sz w:val="22"/>
        </w:rPr>
        <w:t>265—26.5</w:t>
      </w:r>
      <w:r>
        <w:rPr>
          <w:rFonts w:ascii="Times New Roman" w:hAnsi="Times New Roman"/>
          <w:b/>
          <w:i w:val="false"/>
          <w:color w:val="000000"/>
          <w:sz w:val="22"/>
        </w:rPr>
        <w:t xml:space="preserve">(16) </w:t>
      </w:r>
      <w:r>
        <w:rPr>
          <w:rFonts w:ascii="Times New Roman" w:hAnsi="Times New Roman"/>
          <w:b/>
          <w:i w:val="false"/>
          <w:color w:val="000000"/>
          <w:sz w:val="22"/>
        </w:rPr>
        <w:t xml:space="preserve">WPCSRF/DWSRF infrastructure construction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color w:val="000000"/>
          <w:sz w:val="22"/>
        </w:rPr>
        <w:t xml:space="preserve">Loan agreements. </w:t>
      </w:r>
      <w:r>
        <w:rPr>
          <w:rFonts w:ascii="Times New Roman" w:hAnsi="Times New Roman"/>
          <w:b w:val="false"/>
          <w:i w:val="false"/>
          <w:color w:val="000000"/>
          <w:sz w:val="22"/>
        </w:rPr>
        <w:t>The authority will prepare a loan agreement when the application has been determined to be in compliance with the requirements of the CWA/SDWA and applicable state rules for SRF funding. The loan shall be accompanied by an enforceability opinion in a form acceptable to the authority and, if applicable, a bond counsel opinion as to the status of interest on the obligation, in a form acceptable to the authority. A copy of the current form of the loan agreement shall be provided to the applicant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color w:val="000000"/>
          <w:sz w:val="22"/>
        </w:rPr>
        <w:t xml:space="preserve">Loan rates and terms. </w:t>
      </w:r>
      <w:r>
        <w:rPr>
          <w:rFonts w:ascii="Times New Roman" w:hAnsi="Times New Roman"/>
          <w:b w:val="false"/>
          <w:i w:val="false"/>
          <w:color w:val="000000"/>
          <w:sz w:val="22"/>
        </w:rPr>
        <w:t>Loan terms for point source projects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Interest rates. </w:t>
      </w:r>
      <w:r>
        <w:rPr>
          <w:rFonts w:ascii="Times New Roman" w:hAnsi="Times New Roman"/>
          <w:b w:val="false"/>
          <w:i w:val="false"/>
          <w:color w:val="000000"/>
          <w:sz w:val="22"/>
        </w:rPr>
        <w:t>Loan interest rates shall be established in the IUP and shall be established by taking into account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rate cost of funds to the 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Availability of other SRF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Prevailing market interest rates of comparable non-SRF loans;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Long-term SRF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Loan initiation fee. </w:t>
      </w:r>
      <w:r>
        <w:rPr>
          <w:rFonts w:ascii="Times New Roman" w:hAnsi="Times New Roman"/>
          <w:b w:val="false"/>
          <w:i w:val="false"/>
          <w:color w:val="000000"/>
          <w:sz w:val="22"/>
        </w:rPr>
        <w:t>The loan initiation fee shall be established in the IUP. The fee shall be payable on the closing date of the loan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loan servicing fee. </w:t>
      </w:r>
      <w:r>
        <w:rPr>
          <w:rFonts w:ascii="Times New Roman" w:hAnsi="Times New Roman"/>
          <w:b w:val="false"/>
          <w:i w:val="false"/>
          <w:color w:val="000000"/>
          <w:sz w:val="22"/>
        </w:rPr>
        <w:t>The annual loan servicing fee shall be established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Revenue pledge. </w:t>
      </w:r>
      <w:r>
        <w:rPr>
          <w:rFonts w:ascii="Times New Roman" w:hAnsi="Times New Roman"/>
          <w:b w:val="false"/>
          <w:i w:val="false"/>
          <w:color w:val="000000"/>
          <w:sz w:val="22"/>
        </w:rPr>
        <w:t>The recipient shall establish sufficient revenue sources that are acceptable to the director for the repayment of the loan. To ensure repayment of obligations according to the terms of the loan agreement, the recipient shall agree to impose, collect, and increase, if necessary, user charges, taxes, or other dedicated revenue sources identified for the loan repayment in order to maintain annual net revenues at a level equal to at least 110 percent of the amount necessary to pay debt service on all revenue obligations during the next fiscal year, provided, however, that, at the discretion of the director, the authority may allow other revenue sources and coverage of less than 110 percent as security. In case of loan default, the authority shall have authority to require revenue adjustment, through the manner described above, to collect delinquent loan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loan shall be secured by a first lien upon the dedicated source of repayment which may rank on a parity basis with other obligations. The dedicated source of repayment is expected to be the net revenues of the recipient’s system and the loan is expected to be secured by a first lien on said net revenues. Loans secured by revenues of a system may rank on a parity basis with other outstanding obligations or, with the approval of the director, may be subordinate in right of payment to the recipient’s other outstanding revenue obligations. Loans may also be secured by a general obligation of the recipient through the provision for a levy of taxes to repay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Construction payment schedules. </w:t>
      </w:r>
      <w:r>
        <w:rPr>
          <w:rFonts w:ascii="Times New Roman" w:hAnsi="Times New Roman"/>
          <w:b w:val="false"/>
          <w:i w:val="false"/>
          <w:color w:val="000000"/>
          <w:sz w:val="22"/>
        </w:rPr>
        <w:t>An estimated construction drawdown schedule provided by the recipient shall be part of the loan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color w:val="000000"/>
          <w:sz w:val="22"/>
        </w:rPr>
        <w:t xml:space="preserve">Loan commitments. </w:t>
      </w:r>
      <w:r>
        <w:rPr>
          <w:rFonts w:ascii="Times New Roman" w:hAnsi="Times New Roman"/>
          <w:b w:val="false"/>
          <w:i w:val="false"/>
          <w:color w:val="000000"/>
          <w:sz w:val="22"/>
        </w:rPr>
        <w:t>A loan agreement shall be a binding commitment of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w:t>
      </w:r>
      <w:r>
        <w:rPr>
          <w:rFonts w:ascii="Times New Roman" w:hAnsi="Times New Roman"/>
          <w:b w:val="false"/>
          <w:i w:val="false"/>
          <w:color w:val="000000"/>
          <w:sz w:val="22"/>
        </w:rPr>
        <w:t> </w:t>
      </w:r>
      <w:r>
        <w:rPr>
          <w:rFonts w:ascii="Times New Roman" w:hAnsi="Times New Roman"/>
          <w:b w:val="false"/>
          <w:i/>
          <w:color w:val="000000"/>
          <w:sz w:val="22"/>
        </w:rPr>
        <w:t xml:space="preserve">Purpose of payments. </w:t>
      </w:r>
      <w:r>
        <w:rPr>
          <w:rFonts w:ascii="Times New Roman" w:hAnsi="Times New Roman"/>
          <w:b w:val="false"/>
          <w:i w:val="false"/>
          <w:color w:val="000000"/>
          <w:sz w:val="22"/>
        </w:rPr>
        <w:t>The recipient shall use the proceeds of the WPCSRF/DWSRF loan solely for the purpose of funding the approved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All eligible costs must be documented to the satisfaction of the authority and the department before proceeds of the loan will be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26.5(6)</w:t>
      </w:r>
      <w:r>
        <w:rPr>
          <w:rFonts w:ascii="Times New Roman" w:hAnsi="Times New Roman"/>
          <w:b w:val="false"/>
          <w:i w:val="false"/>
          <w:color w:val="000000"/>
          <w:sz w:val="22"/>
        </w:rPr>
        <w:t> </w:t>
      </w:r>
      <w:r>
        <w:rPr>
          <w:rFonts w:ascii="Times New Roman" w:hAnsi="Times New Roman"/>
          <w:b w:val="false"/>
          <w:i/>
          <w:color w:val="000000"/>
          <w:sz w:val="22"/>
        </w:rPr>
        <w:t xml:space="preserve">Loan amount and repayment period. </w:t>
      </w:r>
      <w:r>
        <w:rPr>
          <w:rFonts w:ascii="Times New Roman" w:hAnsi="Times New Roman"/>
          <w:b w:val="false"/>
          <w:i w:val="false"/>
          <w:color w:val="000000"/>
          <w:sz w:val="22"/>
        </w:rPr>
        <w:t>All loans shall be made contingent on the availability of funds, the maximum loan term will be that allowed by EPA, and repayment of the loan must begin no later than one year after the project is completed or by the date specified in the loan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w:t>
      </w: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The loan may be prepaid, in whole or in part, on any date with the prior written consent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8457B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0245C</w:t>
      </w:r>
      <w:r>
        <w:rPr>
          <w:rFonts w:ascii="Times New Roman" w:hAnsi="Times New Roman"/>
          <w:b w:val="false"/>
          <w:i w:val="false"/>
          <w:color w:val="000000"/>
          <w:sz w:val="16"/>
        </w:rPr>
        <w:t>, IAB 8/8/12, effective 7/12/12</w:t>
      </w:r>
      <w:r>
        <w:rPr>
          <w:rFonts w:ascii="Times New Roman" w:hAnsi="Times New Roman"/>
          <w:b w:val="false"/>
          <w:i w:val="false"/>
          <w:color w:val="000000"/>
          <w:sz w:val="16"/>
        </w:rPr>
        <w:t xml:space="preserve">; </w:t>
      </w:r>
      <w:r>
        <w:rPr>
          <w:rFonts w:ascii="Times New Roman" w:hAnsi="Times New Roman"/>
          <w:b/>
          <w:i w:val="false"/>
          <w:color w:val="000000"/>
          <w:sz w:val="16"/>
        </w:rPr>
        <w:t>ARC 0431C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265—26.6</w:t>
      </w:r>
      <w:r>
        <w:rPr>
          <w:rFonts w:ascii="Times New Roman" w:hAnsi="Times New Roman"/>
          <w:b/>
          <w:i w:val="false"/>
          <w:color w:val="000000"/>
          <w:sz w:val="22"/>
        </w:rPr>
        <w:t xml:space="preserve">(16) </w:t>
      </w:r>
      <w:r>
        <w:rPr>
          <w:rFonts w:ascii="Times New Roman" w:hAnsi="Times New Roman"/>
          <w:b/>
          <w:i w:val="false"/>
          <w:color w:val="000000"/>
          <w:sz w:val="22"/>
        </w:rPr>
        <w:t xml:space="preserve">Planning and design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w:t>
      </w:r>
      <w:r>
        <w:rPr>
          <w:rFonts w:ascii="Times New Roman" w:hAnsi="Times New Roman"/>
          <w:b w:val="false"/>
          <w:i w:val="false"/>
          <w:color w:val="000000"/>
          <w:sz w:val="22"/>
        </w:rPr>
        <w:t> </w:t>
      </w:r>
      <w:r>
        <w:rPr>
          <w:rFonts w:ascii="Times New Roman" w:hAnsi="Times New Roman"/>
          <w:b w:val="false"/>
          <w:i/>
          <w:color w:val="000000"/>
          <w:sz w:val="22"/>
        </w:rPr>
        <w:t xml:space="preserve">Timing of loan. </w:t>
      </w:r>
      <w:r>
        <w:rPr>
          <w:rFonts w:ascii="Times New Roman" w:hAnsi="Times New Roman"/>
          <w:b w:val="false"/>
          <w:i w:val="false"/>
          <w:color w:val="000000"/>
          <w:sz w:val="22"/>
        </w:rPr>
        <w:t>Prior to a recipient’s execution of a loan agreement for project construction, funds may be loaned to the recipient to pay for initial eligible costs, including the cost of facility planning and design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26.6(2)</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Planning and design loans may not have a duration of longer than three years from their date of execution, unless the director provides written consent to a longer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The interest rate will be that rate specified in the most recent IUP.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w:t>
      </w:r>
      <w:r>
        <w:rPr>
          <w:rFonts w:ascii="Times New Roman" w:hAnsi="Times New Roman"/>
          <w:b w:val="false"/>
          <w:i w:val="false"/>
          <w:color w:val="000000"/>
          <w:sz w:val="22"/>
        </w:rPr>
        <w:t> </w:t>
      </w:r>
      <w:r>
        <w:rPr>
          <w:rFonts w:ascii="Times New Roman" w:hAnsi="Times New Roman"/>
          <w:b w:val="false"/>
          <w:i/>
          <w:color w:val="000000"/>
          <w:sz w:val="22"/>
        </w:rPr>
        <w:t xml:space="preserve">Rollover to construction loan. </w:t>
      </w:r>
      <w:r>
        <w:rPr>
          <w:rFonts w:ascii="Times New Roman" w:hAnsi="Times New Roman"/>
          <w:b w:val="false"/>
          <w:i w:val="false"/>
          <w:color w:val="000000"/>
          <w:sz w:val="22"/>
        </w:rPr>
        <w:t>All funds borrowed by the recipient as a planning and design loan may be financed as a part of a construction loan agreement upon expiration of the term of the planning and design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If the recipient does not execute an SRF construction loan, the planning and design loan shall be paid in full at the end of the three-year term, unless the loan term is extended by written consent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8079B</w:t>
      </w:r>
      <w:r>
        <w:rPr>
          <w:rFonts w:ascii="Times New Roman" w:hAnsi="Times New Roman"/>
          <w:b w:val="false"/>
          <w:i w:val="false"/>
          <w:color w:val="000000"/>
          <w:sz w:val="16"/>
        </w:rPr>
        <w:t>, IAB 8/26/09, effective 8/7/09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265—26.7</w:t>
      </w:r>
      <w:r>
        <w:rPr>
          <w:rFonts w:ascii="Times New Roman" w:hAnsi="Times New Roman"/>
          <w:b/>
          <w:i w:val="false"/>
          <w:color w:val="000000"/>
          <w:sz w:val="22"/>
        </w:rPr>
        <w:t xml:space="preserve">(16) </w:t>
      </w:r>
      <w:r>
        <w:rPr>
          <w:rFonts w:ascii="Times New Roman" w:hAnsi="Times New Roman"/>
          <w:b/>
          <w:i w:val="false"/>
          <w:color w:val="000000"/>
          <w:sz w:val="22"/>
        </w:rPr>
        <w:t xml:space="preserve">Disadvantaged community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color w:val="000000"/>
          <w:sz w:val="22"/>
        </w:rPr>
        <w:t xml:space="preserve">Criteria for disadvantaged community status. </w:t>
      </w:r>
      <w:r>
        <w:rPr>
          <w:rFonts w:ascii="Times New Roman" w:hAnsi="Times New Roman"/>
          <w:b w:val="false"/>
          <w:i w:val="false"/>
          <w:color w:val="000000"/>
          <w:sz w:val="22"/>
        </w:rPr>
        <w:t>The authority, in conjunction with the department, may develop criteria to determine disadvantaged community status. Factors included in the criteria include, but are not limited to, the community’s median household income and target user charges. Criteria to determine disadvantaged community status shall be established in the IUP.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Interest rates for disadvantaged communities shall be established in the IUP.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8457B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265—26.8</w:t>
      </w:r>
      <w:r>
        <w:rPr>
          <w:rFonts w:ascii="Times New Roman" w:hAnsi="Times New Roman"/>
          <w:b/>
          <w:i w:val="false"/>
          <w:color w:val="000000"/>
          <w:sz w:val="22"/>
        </w:rPr>
        <w:t xml:space="preserve">(16) </w:t>
      </w:r>
      <w:r>
        <w:rPr>
          <w:rFonts w:ascii="Times New Roman" w:hAnsi="Times New Roman"/>
          <w:b/>
          <w:i w:val="false"/>
          <w:color w:val="000000"/>
          <w:sz w:val="22"/>
        </w:rPr>
        <w:t xml:space="preserve">WPCSRF nonpoint source set-aside loan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w:t>
      </w:r>
      <w:r>
        <w:rPr>
          <w:rFonts w:ascii="Times New Roman" w:hAnsi="Times New Roman"/>
          <w:b w:val="false"/>
          <w:i w:val="false"/>
          <w:color w:val="000000"/>
          <w:sz w:val="22"/>
        </w:rPr>
        <w:t> </w:t>
      </w:r>
      <w:r>
        <w:rPr>
          <w:rFonts w:ascii="Times New Roman" w:hAnsi="Times New Roman"/>
          <w:b w:val="false"/>
          <w:i/>
          <w:color w:val="000000"/>
          <w:sz w:val="22"/>
        </w:rPr>
        <w:t xml:space="preserve">Nonpoint source loan assistance. </w:t>
      </w:r>
      <w:r>
        <w:rPr>
          <w:rFonts w:ascii="Times New Roman" w:hAnsi="Times New Roman"/>
          <w:b w:val="false"/>
          <w:i w:val="false"/>
          <w:color w:val="000000"/>
          <w:sz w:val="22"/>
        </w:rPr>
        <w:t>Loan assistance for nonpoint source projects shall be in the form of low-interest loans or through linked deposits or loan participations through participating lending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loan assistance. </w:t>
      </w:r>
      <w:r>
        <w:rPr>
          <w:rFonts w:ascii="Times New Roman" w:hAnsi="Times New Roman"/>
          <w:b w:val="false"/>
          <w:i w:val="false"/>
          <w:color w:val="000000"/>
          <w:sz w:val="22"/>
        </w:rPr>
        <w:t>Application for loan assistance may be made at any participating lending institution or submitted to the authority or the authority’s agent, as applicable. A list of participating lending institutions will be made available by the authority, financial agent or other entity that the authority may use to administer this program. Application for loan assistance shall be made on forms provided by the authority or its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26.8(3)</w:t>
      </w:r>
      <w:r>
        <w:rPr>
          <w:rFonts w:ascii="Times New Roman" w:hAnsi="Times New Roman"/>
          <w:b w:val="false"/>
          <w:i w:val="false"/>
          <w:color w:val="000000"/>
          <w:sz w:val="22"/>
        </w:rPr>
        <w:t> </w:t>
      </w:r>
      <w:r>
        <w:rPr>
          <w:rFonts w:ascii="Times New Roman" w:hAnsi="Times New Roman"/>
          <w:b w:val="false"/>
          <w:i/>
          <w:color w:val="000000"/>
          <w:sz w:val="22"/>
        </w:rPr>
        <w:t xml:space="preserve">Project approval. </w:t>
      </w:r>
      <w:r>
        <w:rPr>
          <w:rFonts w:ascii="Times New Roman" w:hAnsi="Times New Roman"/>
          <w:b w:val="false"/>
          <w:i w:val="false"/>
          <w:color w:val="000000"/>
          <w:sz w:val="22"/>
        </w:rPr>
        <w:t>Each project must be approved by the appropriate environmental or conservation agency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w:t>
      </w:r>
      <w:r>
        <w:rPr>
          <w:rFonts w:ascii="Times New Roman" w:hAnsi="Times New Roman"/>
          <w:b w:val="false"/>
          <w:i w:val="false"/>
          <w:color w:val="000000"/>
          <w:sz w:val="22"/>
        </w:rPr>
        <w:t> </w:t>
      </w:r>
      <w:r>
        <w:rPr>
          <w:rFonts w:ascii="Times New Roman" w:hAnsi="Times New Roman"/>
          <w:b w:val="false"/>
          <w:i/>
          <w:color w:val="000000"/>
          <w:sz w:val="22"/>
        </w:rPr>
        <w:t xml:space="preserve">Loan approval. </w:t>
      </w:r>
      <w:r>
        <w:rPr>
          <w:rFonts w:ascii="Times New Roman" w:hAnsi="Times New Roman"/>
          <w:b w:val="false"/>
          <w:i w:val="false"/>
          <w:color w:val="000000"/>
          <w:sz w:val="22"/>
        </w:rPr>
        <w:t>For linked deposit programs, the participating lending institution shall, upon receipt of a completed loan application form, either approve or deny the loan in accordance with the program requirements. If the loan is approved, the lending institution shall notify the authority or its agent in order to reserve funds in that amount to ensure that funds are available at the time of disbursement. If the loan is denied, the lending institution shall notify the loan applicant, clearly stating the reasons for the loan denial. For low-interest loans with the authority, the authority, or its agent, shall notify the applicant of the loan approval 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Before acting on a loan application, the lending institution shall ensure that adequate funds are available for the project and that the completed project has been inspected and approved by the appropriate environmental or conservation agency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w:t>
      </w:r>
      <w:r>
        <w:rPr>
          <w:rFonts w:ascii="Times New Roman" w:hAnsi="Times New Roman"/>
          <w:b w:val="false"/>
          <w:i w:val="false"/>
          <w:color w:val="000000"/>
          <w:sz w:val="22"/>
        </w:rPr>
        <w:t> </w:t>
      </w:r>
      <w:r>
        <w:rPr>
          <w:rFonts w:ascii="Times New Roman" w:hAnsi="Times New Roman"/>
          <w:b w:val="false"/>
          <w:i/>
          <w:color w:val="000000"/>
          <w:sz w:val="22"/>
        </w:rPr>
        <w:t xml:space="preserve">Property transfer. </w:t>
      </w:r>
      <w:r>
        <w:rPr>
          <w:rFonts w:ascii="Times New Roman" w:hAnsi="Times New Roman"/>
          <w:b w:val="false"/>
          <w:i w:val="false"/>
          <w:color w:val="000000"/>
          <w:sz w:val="22"/>
        </w:rPr>
        <w:t>In the event of property transfer from the applicant to another person or entity during the repayment period specified in the loan agreement, the balance of the loan shall be immediately due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w:t>
      </w:r>
      <w:r>
        <w:rPr>
          <w:rFonts w:ascii="Times New Roman" w:hAnsi="Times New Roman"/>
          <w:b w:val="false"/>
          <w:i w:val="false"/>
          <w:color w:val="000000"/>
          <w:sz w:val="22"/>
        </w:rPr>
        <w:t> </w:t>
      </w:r>
      <w:r>
        <w:rPr>
          <w:rFonts w:ascii="Times New Roman" w:hAnsi="Times New Roman"/>
          <w:b w:val="false"/>
          <w:i/>
          <w:color w:val="000000"/>
          <w:sz w:val="22"/>
        </w:rPr>
        <w:t xml:space="preserve">Loan amount and period. </w:t>
      </w:r>
      <w:r>
        <w:rPr>
          <w:rFonts w:ascii="Times New Roman" w:hAnsi="Times New Roman"/>
          <w:b w:val="false"/>
          <w:i w:val="false"/>
          <w:color w:val="000000"/>
          <w:sz w:val="22"/>
        </w:rPr>
        <w:t>All loans shall be made contingent on the availability of funds in the applicable fund or set-aside program as indicated in the IUP. The minimum and maximum loan amounts that will be considered are dependent on project type and are set forth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1920"/>
        <w:gridCol w:w="1920"/>
        <w:gridCol w:w="1920"/>
        <w:gridCol w:w="1920"/>
        <w:gridCol w:w="1920"/>
      </w:tblGrid>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Type of Project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Type of Assistance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Minimum Loan Amount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Maximum Outstanding Balance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Maximum Loan Term</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Project Approval Agency</w:t>
            </w:r>
          </w:p>
        </w:tc>
      </w:tr>
      <w:tr>
        <w:trPr>
          <w:trHeight w:val="58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General Nonpoint Source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Low-interest loans, Linked deposit or Loan participations</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 maximum</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 years</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DNR</w:t>
            </w:r>
          </w:p>
        </w:tc>
      </w:tr>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Local Water Protection</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Linked deposit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$500,000 per common ownership</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years</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Division of Soil Conservation</w:t>
            </w:r>
          </w:p>
        </w:tc>
      </w:tr>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Livestock Water Quality Facilities</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Linked deposit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$10,000</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$500,000 per common ownership</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 years*</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Division of Soil Conservation </w:t>
            </w:r>
          </w:p>
        </w:tc>
      </w:tr>
      <w:tr>
        <w:trPr>
          <w:trHeight w:val="405" w:hRule="atLeast"/>
        </w:trPr>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Onsite Wastewater Systems Assistance</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Linked deposit</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$2,000</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 maximum</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years</w:t>
            </w:r>
          </w:p>
        </w:tc>
        <w:tc>
          <w:tcPr>
            <w:tcW w:w="192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County </w:t>
            </w:r>
          </w:p>
        </w:tc>
      </w:tr>
    </w:tbl>
    <w:p>
      <w:pPr>
        <w:spacing w:before="0" w:after="0"/>
        <w:ind w:left="120"/>
        <w:jc w:val="both"/>
      </w:pPr>
      <w:r>
        <w:rPr>
          <w:rFonts w:ascii="Times New Roman" w:hAnsi="Times New Roman"/>
          <w:b w:val="false"/>
          <w:i w:val="false"/>
          <w:color w:val="000000"/>
          <w:sz w:val="22"/>
        </w:rPr>
        <w:t>*If the loan is made only for preparation of a comprehensive nutrient management plan, the loan period shall not exceed 5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26.8(8)</w:t>
      </w: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For direct loans, prepayment of the loan principal in whole or in part shall be allowed without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26.8(9)</w:t>
      </w:r>
      <w:r>
        <w:rPr>
          <w:rFonts w:ascii="Times New Roman" w:hAnsi="Times New Roman"/>
          <w:b w:val="false"/>
          <w:i w:val="false"/>
          <w:color w:val="000000"/>
          <w:sz w:val="22"/>
        </w:rPr>
        <w:t> </w:t>
      </w:r>
      <w:r>
        <w:rPr>
          <w:rFonts w:ascii="Times New Roman" w:hAnsi="Times New Roman"/>
          <w:b w:val="false"/>
          <w:i/>
          <w:color w:val="000000"/>
          <w:sz w:val="22"/>
        </w:rPr>
        <w:t xml:space="preserve">Loan adjustments. </w:t>
      </w:r>
      <w:r>
        <w:rPr>
          <w:rFonts w:ascii="Times New Roman" w:hAnsi="Times New Roman"/>
          <w:b w:val="false"/>
          <w:i w:val="false"/>
          <w:color w:val="000000"/>
          <w:sz w:val="22"/>
        </w:rPr>
        <w:t>If the eligible costs exceed the loan amount, the recipient may request an increase in the loan amount. The lending institution is authorized to execute a loan for a principal amount of up to 10 percent above the amount of the loan application if the eligible costs exceed the application amount. To determine the appropriate action, the authority will evaluate the request by considering available moneys in the fund as well as the financial risk. Should the eligible costs be less than the loan amount, the loan shall be appropriately adjusted.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Funds shall be disbursed in accordance with the loan agreement. The loan agreement may allow for periodic disbursement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8457B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8906B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265—26.9</w:t>
      </w:r>
      <w:r>
        <w:rPr>
          <w:rFonts w:ascii="Times New Roman" w:hAnsi="Times New Roman"/>
          <w:b/>
          <w:i w:val="false"/>
          <w:color w:val="000000"/>
          <w:sz w:val="22"/>
        </w:rPr>
        <w:t xml:space="preserve">(16) </w:t>
      </w:r>
      <w:r>
        <w:rPr>
          <w:rFonts w:ascii="Times New Roman" w:hAnsi="Times New Roman"/>
          <w:b/>
          <w:i w:val="false"/>
          <w:color w:val="000000"/>
          <w:sz w:val="22"/>
        </w:rPr>
        <w:t xml:space="preserve">Termination and rectification of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26.9(1)</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The authority shall have the right to terminate any loan if a term of the agreement has been violated. Loans are subject to termination if construction has not begun within one year of the execution of a loan agreement. The director will establish a repayment schedule for funds already loaned to the recipient. Every termination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26.9(2)</w:t>
      </w:r>
      <w:r>
        <w:rPr>
          <w:rFonts w:ascii="Times New Roman" w:hAnsi="Times New Roman"/>
          <w:b w:val="false"/>
          <w:i w:val="false"/>
          <w:color w:val="000000"/>
          <w:sz w:val="22"/>
        </w:rPr>
        <w:t> </w:t>
      </w:r>
      <w:r>
        <w:rPr>
          <w:rFonts w:ascii="Times New Roman" w:hAnsi="Times New Roman"/>
          <w:b w:val="false"/>
          <w:i/>
          <w:color w:val="000000"/>
          <w:sz w:val="22"/>
        </w:rPr>
        <w:t xml:space="preserve">Rectification and disputes. </w:t>
      </w:r>
      <w:r>
        <w:rPr>
          <w:rFonts w:ascii="Times New Roman" w:hAnsi="Times New Roman"/>
          <w:b w:val="false"/>
          <w:i w:val="false"/>
          <w:color w:val="000000"/>
          <w:sz w:val="22"/>
        </w:rPr>
        <w:t>Failure of the recipient to implement the approved project or to comply with the applicable requirements constitutes grounds for the authority, the authority’s agent, or the participating lending institution to withhold loan disbursements. The recipient is responsible for ensuring that the identified problem(s) is rectified. Once the deficiency is corrected, the loan funds can be released. A recipient that disagrees with the director’s withholding of loan funds may request a formal review of the action. The recipient must submit to the director a written request for a formal review of the action within 30 days of receiving notice that loan disbursements will not be released.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16.133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1/13/06, Notice 9/28/05—published 2/1/06, effective 3/8/06]</w:t>
      </w:r>
    </w:p>
    <w:p>
      <w:pPr>
        <w:spacing w:before="0" w:after="0"/>
        <w:ind w:left="120"/>
        <w:jc w:val="center"/>
      </w:pPr>
      <w:r>
        <w:rPr>
          <w:rFonts w:ascii="Times New Roman" w:hAnsi="Times New Roman"/>
          <w:b w:val="false"/>
          <w:i w:val="false"/>
          <w:color w:val="000000"/>
          <w:sz w:val="21"/>
        </w:rPr>
        <w:t>[Filed emergency 12/11/07—published 1/2/08, effective 12/11/07]</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[Filed Emergency ARC 8079B, IAB 8/26/09, effective 8/7/09]</w:t>
      </w:r>
    </w:p>
    <w:p>
      <w:pPr>
        <w:spacing w:before="0" w:after="0"/>
        <w:ind w:left="120"/>
        <w:jc w:val="center"/>
      </w:pPr>
      <w:r>
        <w:rPr>
          <w:rFonts w:ascii="Times New Roman" w:hAnsi="Times New Roman"/>
          <w:b w:val="false"/>
          <w:i w:val="false"/>
          <w:color w:val="000000"/>
          <w:sz w:val="21"/>
        </w:rPr>
        <w:t>[Filed ARC 8457B</w:t>
      </w:r>
      <w:r>
        <w:rPr>
          <w:rFonts w:ascii="Times New Roman" w:hAnsi="Times New Roman"/>
          <w:b w:val="false"/>
          <w:i w:val="false"/>
          <w:color w:val="000000"/>
          <w:sz w:val="21"/>
        </w:rPr>
        <w:t xml:space="preserve"> (Notice ARC 8193B,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8906B, IAB 6/30/10, effective 6/10/10]</w:t>
      </w:r>
    </w:p>
    <w:p>
      <w:pPr>
        <w:spacing w:before="0" w:after="0"/>
        <w:ind w:left="120"/>
        <w:jc w:val="center"/>
      </w:pPr>
      <w:r>
        <w:rPr>
          <w:rFonts w:ascii="Times New Roman" w:hAnsi="Times New Roman"/>
          <w:b w:val="false"/>
          <w:i w:val="false"/>
          <w:color w:val="000000"/>
          <w:sz w:val="21"/>
        </w:rPr>
        <w:t>[Filed Emergency ARC 0245C, IAB 8/8/12, effective 7/12/12]</w:t>
      </w:r>
    </w:p>
    <w:p>
      <w:pPr>
        <w:spacing w:before="0" w:after="0"/>
        <w:ind w:left="120"/>
        <w:jc w:val="center"/>
      </w:pPr>
      <w:r>
        <w:rPr>
          <w:rFonts w:ascii="Times New Roman" w:hAnsi="Times New Roman"/>
          <w:b w:val="false"/>
          <w:i w:val="false"/>
          <w:color w:val="000000"/>
          <w:sz w:val="21"/>
        </w:rPr>
        <w:t>[Filed ARC 0431C</w:t>
      </w:r>
      <w:r>
        <w:rPr>
          <w:rFonts w:ascii="Times New Roman" w:hAnsi="Times New Roman"/>
          <w:b w:val="false"/>
          <w:i w:val="false"/>
          <w:color w:val="000000"/>
          <w:sz w:val="21"/>
        </w:rPr>
        <w:t xml:space="preserve"> (Filed Emergency ARC 0244C,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2003C</w:t>
      </w:r>
      <w:r>
        <w:rPr>
          <w:rFonts w:ascii="Times New Roman" w:hAnsi="Times New Roman"/>
          <w:b w:val="false"/>
          <w:i w:val="false"/>
          <w:color w:val="000000"/>
          <w:sz w:val="21"/>
        </w:rPr>
        <w:t xml:space="preserve"> (Notice ARC 1866C, IAB 2/4/15)</w:t>
      </w:r>
      <w:r>
        <w:rPr>
          <w:rFonts w:ascii="Times New Roman" w:hAnsi="Times New Roman"/>
          <w:b w:val="false"/>
          <w:i w:val="false"/>
          <w:color w:val="000000"/>
          <w:sz w:val="21"/>
        </w:rPr>
        <w:t>, IAB 5/27/15, effective 7/1/15]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31-133.pdf" Type="http://schemas.openxmlformats.org/officeDocument/2006/relationships/hyperlink" Id="rId5"/>
    <Relationship TargetMode="External" Target="https://www.legis.iowa.gov/docs/iac/chapter/567.40.pdf" Type="http://schemas.openxmlformats.org/officeDocument/2006/relationships/hyperlink" Id="rId6"/>
    <Relationship TargetMode="External" Target="https://www.legis.iowa.gov/docs/iac/chapter/567.90.pdf" Type="http://schemas.openxmlformats.org/officeDocument/2006/relationships/hyperlink" Id="rId7"/>
    <Relationship TargetMode="External" Target="https://www.legis.iowa.gov/docs/iac/chapter/567.44.pdf" Type="http://schemas.openxmlformats.org/officeDocument/2006/relationships/hyperlink" Id="rId8"/>
    <Relationship TargetMode="External" Target="https://www.legis.iowa.gov/docs/iac/chapter/567.92.pdf" Type="http://schemas.openxmlformats.org/officeDocument/2006/relationships/hyperlink" Id="rId9"/>
    <Relationship TargetMode="External" Target="https://www.legis.iowa.gov/docs/ico/chapter/16.5.pdf" Type="http://schemas.openxmlformats.org/officeDocument/2006/relationships/hyperlink" Id="rId10"/>
    <Relationship TargetMode="External" Target="https://www.legis.iowa.gov/docs/ico/chapter/16.13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